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outlineLvl w:val="1"/>
        <w:rPr>
          <w:rFonts w:ascii="仿宋" w:hAnsi="仿宋" w:eastAsia="仿宋"/>
          <w:color w:val="000000"/>
          <w:sz w:val="28"/>
          <w:szCs w:val="28"/>
        </w:rPr>
      </w:pPr>
    </w:p>
    <w:p>
      <w:pPr>
        <w:spacing w:line="800" w:lineRule="exact"/>
        <w:jc w:val="center"/>
        <w:outlineLvl w:val="1"/>
        <w:rPr>
          <w:rFonts w:ascii="宋体"/>
          <w:color w:val="000000"/>
          <w:spacing w:val="6"/>
          <w:kern w:val="36"/>
          <w:sz w:val="44"/>
          <w:szCs w:val="44"/>
        </w:rPr>
      </w:pPr>
      <w:r>
        <w:rPr>
          <w:rFonts w:hint="eastAsia" w:ascii="宋体" w:hAnsi="宋体" w:cs="宋体"/>
          <w:color w:val="000000"/>
          <w:spacing w:val="6"/>
          <w:kern w:val="36"/>
          <w:sz w:val="44"/>
          <w:szCs w:val="44"/>
        </w:rPr>
        <w:t>广西壮族自治区电信设施建设与保护条例</w:t>
      </w:r>
    </w:p>
    <w:p>
      <w:pPr>
        <w:spacing w:line="520" w:lineRule="exact"/>
        <w:rPr>
          <w:rFonts w:ascii="楷体" w:hAnsi="楷体" w:eastAsia="楷体"/>
          <w:sz w:val="28"/>
          <w:szCs w:val="28"/>
        </w:rPr>
      </w:pPr>
    </w:p>
    <w:p>
      <w:pPr>
        <w:spacing w:line="520" w:lineRule="exact"/>
        <w:jc w:val="center"/>
        <w:rPr>
          <w:rFonts w:ascii="楷体_GB2312" w:hAnsi="楷体" w:eastAsia="楷体_GB2312"/>
          <w:sz w:val="32"/>
          <w:szCs w:val="32"/>
        </w:rPr>
      </w:pPr>
      <w:r>
        <w:rPr>
          <w:rFonts w:hint="eastAsia" w:ascii="楷体_GB2312" w:hAnsi="楷体" w:eastAsia="楷体_GB2312" w:cs="楷体_GB2312"/>
          <w:sz w:val="32"/>
          <w:szCs w:val="32"/>
        </w:rPr>
        <w:t>（</w:t>
      </w:r>
      <w:r>
        <w:rPr>
          <w:rFonts w:ascii="楷体_GB2312" w:hAnsi="楷体" w:eastAsia="楷体_GB2312" w:cs="楷体_GB2312"/>
          <w:sz w:val="32"/>
          <w:szCs w:val="32"/>
        </w:rPr>
        <w:t>2018</w:t>
      </w:r>
      <w:r>
        <w:rPr>
          <w:rFonts w:hint="eastAsia" w:ascii="楷体_GB2312" w:hAnsi="楷体" w:eastAsia="楷体_GB2312" w:cs="楷体_GB2312"/>
          <w:sz w:val="32"/>
          <w:szCs w:val="32"/>
        </w:rPr>
        <w:t>年</w:t>
      </w:r>
      <w:r>
        <w:rPr>
          <w:rFonts w:ascii="楷体_GB2312" w:hAnsi="楷体" w:eastAsia="楷体_GB2312" w:cs="楷体_GB2312"/>
          <w:sz w:val="32"/>
          <w:szCs w:val="32"/>
        </w:rPr>
        <w:t>3</w:t>
      </w:r>
      <w:r>
        <w:rPr>
          <w:rFonts w:hint="eastAsia" w:ascii="楷体_GB2312" w:hAnsi="楷体" w:eastAsia="楷体_GB2312" w:cs="楷体_GB2312"/>
          <w:sz w:val="32"/>
          <w:szCs w:val="32"/>
        </w:rPr>
        <w:t>月</w:t>
      </w:r>
      <w:r>
        <w:rPr>
          <w:rFonts w:ascii="楷体_GB2312" w:hAnsi="楷体" w:eastAsia="楷体_GB2312" w:cs="楷体_GB2312"/>
          <w:sz w:val="32"/>
          <w:szCs w:val="32"/>
        </w:rPr>
        <w:t>29</w:t>
      </w:r>
      <w:r>
        <w:rPr>
          <w:rFonts w:hint="eastAsia" w:ascii="楷体_GB2312" w:hAnsi="楷体" w:eastAsia="楷体_GB2312" w:cs="楷体_GB2312"/>
          <w:sz w:val="32"/>
          <w:szCs w:val="32"/>
        </w:rPr>
        <w:t>日广西壮族自治区第十三届</w:t>
      </w:r>
    </w:p>
    <w:p>
      <w:pPr>
        <w:spacing w:line="520" w:lineRule="exact"/>
        <w:jc w:val="center"/>
        <w:rPr>
          <w:rFonts w:ascii="楷体_GB2312" w:hAnsi="楷体" w:eastAsia="楷体_GB2312"/>
          <w:sz w:val="32"/>
          <w:szCs w:val="32"/>
        </w:rPr>
      </w:pPr>
      <w:r>
        <w:rPr>
          <w:rFonts w:hint="eastAsia" w:ascii="楷体_GB2312" w:hAnsi="楷体" w:eastAsia="楷体_GB2312" w:cs="楷体_GB2312"/>
          <w:sz w:val="32"/>
          <w:szCs w:val="32"/>
        </w:rPr>
        <w:t>人民代表大会常务委员会第二次会议通过）</w:t>
      </w:r>
    </w:p>
    <w:p>
      <w:pPr>
        <w:spacing w:line="520" w:lineRule="exact"/>
        <w:rPr>
          <w:rFonts w:ascii="仿宋" w:hAnsi="仿宋" w:eastAsia="仿宋"/>
          <w:color w:val="000000"/>
          <w:sz w:val="32"/>
          <w:szCs w:val="32"/>
        </w:rPr>
      </w:pPr>
    </w:p>
    <w:p>
      <w:pPr>
        <w:spacing w:line="520" w:lineRule="exact"/>
        <w:rPr>
          <w:rFonts w:ascii="仿宋" w:hAnsi="仿宋" w:eastAsia="仿宋"/>
          <w:color w:val="000000"/>
          <w:sz w:val="32"/>
          <w:szCs w:val="32"/>
        </w:rPr>
      </w:pPr>
    </w:p>
    <w:p>
      <w:pPr>
        <w:tabs>
          <w:tab w:val="left" w:pos="7380"/>
        </w:tabs>
        <w:adjustRightInd w:val="0"/>
        <w:snapToGrid w:val="0"/>
        <w:spacing w:line="580" w:lineRule="exact"/>
        <w:ind w:firstLine="640" w:firstLineChars="200"/>
        <w:jc w:val="center"/>
        <w:rPr>
          <w:rFonts w:ascii="黑体" w:hAnsi="黑体" w:eastAsia="黑体"/>
          <w:snapToGrid w:val="0"/>
          <w:color w:val="000000"/>
          <w:sz w:val="32"/>
          <w:szCs w:val="32"/>
        </w:rPr>
      </w:pPr>
      <w:r>
        <w:rPr>
          <w:rFonts w:hint="eastAsia" w:ascii="黑体" w:hAnsi="黑体" w:eastAsia="黑体" w:cs="黑体"/>
          <w:snapToGrid w:val="0"/>
          <w:color w:val="000000"/>
          <w:sz w:val="32"/>
          <w:szCs w:val="32"/>
        </w:rPr>
        <w:t>目</w:t>
      </w:r>
      <w:r>
        <w:rPr>
          <w:rFonts w:ascii="黑体" w:hAnsi="黑体" w:eastAsia="黑体" w:cs="黑体"/>
          <w:snapToGrid w:val="0"/>
          <w:color w:val="000000"/>
          <w:sz w:val="32"/>
          <w:szCs w:val="32"/>
        </w:rPr>
        <w:t xml:space="preserve">  </w:t>
      </w:r>
      <w:r>
        <w:rPr>
          <w:rFonts w:hint="eastAsia" w:ascii="黑体" w:hAnsi="黑体" w:eastAsia="黑体" w:cs="黑体"/>
          <w:snapToGrid w:val="0"/>
          <w:color w:val="000000"/>
          <w:sz w:val="32"/>
          <w:szCs w:val="32"/>
        </w:rPr>
        <w:t>录</w:t>
      </w:r>
    </w:p>
    <w:p>
      <w:pPr>
        <w:tabs>
          <w:tab w:val="left" w:pos="7380"/>
        </w:tabs>
        <w:adjustRightInd w:val="0"/>
        <w:snapToGrid w:val="0"/>
        <w:spacing w:line="580" w:lineRule="exact"/>
        <w:ind w:firstLine="640" w:firstLineChars="200"/>
        <w:rPr>
          <w:rFonts w:ascii="黑体" w:hAnsi="黑体" w:eastAsia="黑体"/>
          <w:snapToGrid w:val="0"/>
          <w:color w:val="000000"/>
          <w:sz w:val="32"/>
          <w:szCs w:val="32"/>
        </w:rPr>
      </w:pPr>
      <w:r>
        <w:rPr>
          <w:rFonts w:ascii="黑体" w:hAnsi="黑体" w:eastAsia="黑体" w:cs="黑体"/>
          <w:snapToGrid w:val="0"/>
          <w:color w:val="000000"/>
          <w:sz w:val="32"/>
          <w:szCs w:val="32"/>
        </w:rPr>
        <w:t xml:space="preserve">    </w:t>
      </w:r>
      <w:r>
        <w:rPr>
          <w:rFonts w:hint="eastAsia" w:ascii="黑体" w:hAnsi="黑体" w:eastAsia="黑体" w:cs="黑体"/>
          <w:snapToGrid w:val="0"/>
          <w:color w:val="000000"/>
          <w:sz w:val="32"/>
          <w:szCs w:val="32"/>
        </w:rPr>
        <w:t>第一章</w:t>
      </w:r>
      <w:r>
        <w:rPr>
          <w:rFonts w:ascii="黑体" w:hAnsi="黑体" w:eastAsia="黑体" w:cs="黑体"/>
          <w:snapToGrid w:val="0"/>
          <w:color w:val="000000"/>
          <w:sz w:val="32"/>
          <w:szCs w:val="32"/>
        </w:rPr>
        <w:t xml:space="preserve">  </w:t>
      </w:r>
      <w:r>
        <w:rPr>
          <w:rFonts w:hint="eastAsia" w:ascii="黑体" w:hAnsi="黑体" w:eastAsia="黑体" w:cs="黑体"/>
          <w:snapToGrid w:val="0"/>
          <w:color w:val="000000"/>
          <w:sz w:val="32"/>
          <w:szCs w:val="32"/>
        </w:rPr>
        <w:t>总</w:t>
      </w:r>
      <w:r>
        <w:rPr>
          <w:rFonts w:ascii="黑体" w:hAnsi="黑体" w:eastAsia="黑体" w:cs="黑体"/>
          <w:snapToGrid w:val="0"/>
          <w:color w:val="000000"/>
          <w:sz w:val="32"/>
          <w:szCs w:val="32"/>
        </w:rPr>
        <w:t xml:space="preserve">  </w:t>
      </w:r>
      <w:r>
        <w:rPr>
          <w:rFonts w:hint="eastAsia" w:ascii="黑体" w:hAnsi="黑体" w:eastAsia="黑体" w:cs="黑体"/>
          <w:snapToGrid w:val="0"/>
          <w:color w:val="000000"/>
          <w:sz w:val="32"/>
          <w:szCs w:val="32"/>
        </w:rPr>
        <w:t>则</w:t>
      </w:r>
    </w:p>
    <w:p>
      <w:pPr>
        <w:tabs>
          <w:tab w:val="left" w:pos="7380"/>
        </w:tabs>
        <w:adjustRightInd w:val="0"/>
        <w:snapToGrid w:val="0"/>
        <w:spacing w:line="580" w:lineRule="exact"/>
        <w:ind w:firstLine="640" w:firstLineChars="200"/>
        <w:rPr>
          <w:rFonts w:ascii="黑体" w:hAnsi="黑体" w:eastAsia="黑体"/>
          <w:snapToGrid w:val="0"/>
          <w:color w:val="000000"/>
          <w:sz w:val="32"/>
          <w:szCs w:val="32"/>
        </w:rPr>
      </w:pPr>
      <w:r>
        <w:rPr>
          <w:rFonts w:ascii="黑体" w:hAnsi="黑体" w:eastAsia="黑体" w:cs="黑体"/>
          <w:snapToGrid w:val="0"/>
          <w:color w:val="000000"/>
          <w:sz w:val="32"/>
          <w:szCs w:val="32"/>
        </w:rPr>
        <w:t xml:space="preserve">    </w:t>
      </w:r>
      <w:r>
        <w:rPr>
          <w:rFonts w:hint="eastAsia" w:ascii="黑体" w:hAnsi="黑体" w:eastAsia="黑体" w:cs="黑体"/>
          <w:snapToGrid w:val="0"/>
          <w:color w:val="000000"/>
          <w:sz w:val="32"/>
          <w:szCs w:val="32"/>
        </w:rPr>
        <w:t>第二章</w:t>
      </w:r>
      <w:r>
        <w:rPr>
          <w:rFonts w:ascii="黑体" w:hAnsi="黑体" w:eastAsia="黑体" w:cs="黑体"/>
          <w:snapToGrid w:val="0"/>
          <w:color w:val="000000"/>
          <w:sz w:val="32"/>
          <w:szCs w:val="32"/>
        </w:rPr>
        <w:t xml:space="preserve">  </w:t>
      </w:r>
      <w:r>
        <w:rPr>
          <w:rFonts w:hint="eastAsia" w:ascii="黑体" w:hAnsi="黑体" w:eastAsia="黑体" w:cs="黑体"/>
          <w:snapToGrid w:val="0"/>
          <w:color w:val="000000"/>
          <w:sz w:val="32"/>
          <w:szCs w:val="32"/>
        </w:rPr>
        <w:t>电信设施规划和建设</w:t>
      </w:r>
    </w:p>
    <w:p>
      <w:pPr>
        <w:tabs>
          <w:tab w:val="left" w:pos="7380"/>
        </w:tabs>
        <w:adjustRightInd w:val="0"/>
        <w:snapToGrid w:val="0"/>
        <w:spacing w:line="580" w:lineRule="exact"/>
        <w:ind w:firstLine="1280" w:firstLineChars="400"/>
        <w:rPr>
          <w:rFonts w:ascii="黑体" w:hAnsi="黑体" w:eastAsia="黑体"/>
          <w:snapToGrid w:val="0"/>
          <w:color w:val="000000"/>
          <w:sz w:val="32"/>
          <w:szCs w:val="32"/>
        </w:rPr>
      </w:pPr>
      <w:r>
        <w:rPr>
          <w:rFonts w:hint="eastAsia" w:ascii="黑体" w:hAnsi="黑体" w:eastAsia="黑体" w:cs="黑体"/>
          <w:snapToGrid w:val="0"/>
          <w:color w:val="000000"/>
          <w:sz w:val="32"/>
          <w:szCs w:val="32"/>
        </w:rPr>
        <w:t>第三章</w:t>
      </w:r>
      <w:r>
        <w:rPr>
          <w:rFonts w:ascii="黑体" w:hAnsi="黑体" w:eastAsia="黑体" w:cs="黑体"/>
          <w:snapToGrid w:val="0"/>
          <w:color w:val="000000"/>
          <w:sz w:val="32"/>
          <w:szCs w:val="32"/>
        </w:rPr>
        <w:t xml:space="preserve">  </w:t>
      </w:r>
      <w:r>
        <w:rPr>
          <w:rFonts w:hint="eastAsia" w:ascii="黑体" w:hAnsi="黑体" w:eastAsia="黑体" w:cs="黑体"/>
          <w:snapToGrid w:val="0"/>
          <w:color w:val="000000"/>
          <w:sz w:val="32"/>
          <w:szCs w:val="32"/>
        </w:rPr>
        <w:t>电信设施保护</w:t>
      </w:r>
    </w:p>
    <w:p>
      <w:pPr>
        <w:tabs>
          <w:tab w:val="left" w:pos="7380"/>
        </w:tabs>
        <w:adjustRightInd w:val="0"/>
        <w:snapToGrid w:val="0"/>
        <w:spacing w:line="580" w:lineRule="exact"/>
        <w:ind w:firstLine="640" w:firstLineChars="200"/>
        <w:rPr>
          <w:rFonts w:ascii="黑体" w:hAnsi="黑体" w:eastAsia="黑体"/>
          <w:snapToGrid w:val="0"/>
          <w:color w:val="000000"/>
          <w:sz w:val="32"/>
          <w:szCs w:val="32"/>
        </w:rPr>
      </w:pPr>
      <w:r>
        <w:rPr>
          <w:rFonts w:ascii="黑体" w:hAnsi="黑体" w:eastAsia="黑体" w:cs="黑体"/>
          <w:snapToGrid w:val="0"/>
          <w:color w:val="000000"/>
          <w:sz w:val="32"/>
          <w:szCs w:val="32"/>
        </w:rPr>
        <w:t xml:space="preserve">    </w:t>
      </w:r>
      <w:r>
        <w:rPr>
          <w:rFonts w:hint="eastAsia" w:ascii="黑体" w:hAnsi="黑体" w:eastAsia="黑体" w:cs="黑体"/>
          <w:snapToGrid w:val="0"/>
          <w:color w:val="000000"/>
          <w:sz w:val="32"/>
          <w:szCs w:val="32"/>
        </w:rPr>
        <w:t>第四章</w:t>
      </w:r>
      <w:r>
        <w:rPr>
          <w:rFonts w:ascii="黑体" w:hAnsi="黑体" w:eastAsia="黑体" w:cs="黑体"/>
          <w:snapToGrid w:val="0"/>
          <w:color w:val="000000"/>
          <w:sz w:val="32"/>
          <w:szCs w:val="32"/>
        </w:rPr>
        <w:t xml:space="preserve">  </w:t>
      </w:r>
      <w:r>
        <w:rPr>
          <w:rFonts w:hint="eastAsia" w:ascii="黑体" w:hAnsi="黑体" w:eastAsia="黑体" w:cs="黑体"/>
          <w:snapToGrid w:val="0"/>
          <w:color w:val="000000"/>
          <w:sz w:val="32"/>
          <w:szCs w:val="32"/>
        </w:rPr>
        <w:t>法律责任</w:t>
      </w:r>
    </w:p>
    <w:p>
      <w:pPr>
        <w:tabs>
          <w:tab w:val="left" w:pos="7380"/>
        </w:tabs>
        <w:adjustRightInd w:val="0"/>
        <w:snapToGrid w:val="0"/>
        <w:spacing w:line="580" w:lineRule="exact"/>
        <w:ind w:firstLine="640" w:firstLineChars="200"/>
        <w:rPr>
          <w:rFonts w:ascii="黑体" w:hAnsi="黑体" w:eastAsia="黑体"/>
          <w:snapToGrid w:val="0"/>
          <w:color w:val="000000"/>
          <w:sz w:val="32"/>
          <w:szCs w:val="32"/>
        </w:rPr>
      </w:pPr>
      <w:r>
        <w:rPr>
          <w:rFonts w:ascii="黑体" w:hAnsi="黑体" w:eastAsia="黑体" w:cs="黑体"/>
          <w:snapToGrid w:val="0"/>
          <w:color w:val="000000"/>
          <w:sz w:val="32"/>
          <w:szCs w:val="32"/>
        </w:rPr>
        <w:t xml:space="preserve">    </w:t>
      </w:r>
      <w:r>
        <w:rPr>
          <w:rFonts w:hint="eastAsia" w:ascii="黑体" w:hAnsi="黑体" w:eastAsia="黑体" w:cs="黑体"/>
          <w:snapToGrid w:val="0"/>
          <w:color w:val="000000"/>
          <w:sz w:val="32"/>
          <w:szCs w:val="32"/>
        </w:rPr>
        <w:t>第五章</w:t>
      </w:r>
      <w:r>
        <w:rPr>
          <w:rFonts w:ascii="黑体" w:hAnsi="黑体" w:eastAsia="黑体" w:cs="黑体"/>
          <w:snapToGrid w:val="0"/>
          <w:color w:val="000000"/>
          <w:sz w:val="32"/>
          <w:szCs w:val="32"/>
        </w:rPr>
        <w:t xml:space="preserve">  </w:t>
      </w:r>
      <w:r>
        <w:rPr>
          <w:rFonts w:hint="eastAsia" w:ascii="黑体" w:hAnsi="黑体" w:eastAsia="黑体" w:cs="黑体"/>
          <w:snapToGrid w:val="0"/>
          <w:color w:val="000000"/>
          <w:sz w:val="32"/>
          <w:szCs w:val="32"/>
        </w:rPr>
        <w:t>附</w:t>
      </w:r>
      <w:r>
        <w:rPr>
          <w:rFonts w:ascii="黑体" w:hAnsi="黑体" w:eastAsia="黑体" w:cs="黑体"/>
          <w:snapToGrid w:val="0"/>
          <w:color w:val="000000"/>
          <w:sz w:val="32"/>
          <w:szCs w:val="32"/>
        </w:rPr>
        <w:t xml:space="preserve">  </w:t>
      </w:r>
      <w:r>
        <w:rPr>
          <w:rFonts w:hint="eastAsia" w:ascii="黑体" w:hAnsi="黑体" w:eastAsia="黑体" w:cs="黑体"/>
          <w:snapToGrid w:val="0"/>
          <w:color w:val="000000"/>
          <w:sz w:val="32"/>
          <w:szCs w:val="32"/>
        </w:rPr>
        <w:t>则</w:t>
      </w:r>
    </w:p>
    <w:p>
      <w:pPr>
        <w:tabs>
          <w:tab w:val="left" w:pos="7380"/>
        </w:tabs>
        <w:adjustRightInd w:val="0"/>
        <w:snapToGrid w:val="0"/>
        <w:spacing w:line="580" w:lineRule="exact"/>
        <w:ind w:firstLine="640" w:firstLineChars="200"/>
        <w:rPr>
          <w:rFonts w:ascii="黑体" w:hAnsi="黑体" w:eastAsia="黑体"/>
          <w:snapToGrid w:val="0"/>
          <w:color w:val="000000"/>
          <w:sz w:val="32"/>
          <w:szCs w:val="32"/>
        </w:rPr>
      </w:pPr>
    </w:p>
    <w:p>
      <w:pPr>
        <w:tabs>
          <w:tab w:val="left" w:pos="7380"/>
        </w:tabs>
        <w:adjustRightInd w:val="0"/>
        <w:snapToGrid w:val="0"/>
        <w:spacing w:line="580" w:lineRule="exact"/>
        <w:ind w:firstLine="640" w:firstLineChars="200"/>
        <w:jc w:val="center"/>
        <w:rPr>
          <w:rFonts w:ascii="黑体" w:hAnsi="黑体" w:eastAsia="黑体"/>
          <w:snapToGrid w:val="0"/>
          <w:color w:val="000000"/>
          <w:sz w:val="32"/>
          <w:szCs w:val="32"/>
        </w:rPr>
      </w:pPr>
      <w:r>
        <w:rPr>
          <w:rFonts w:hint="eastAsia" w:ascii="黑体" w:hAnsi="黑体" w:eastAsia="黑体" w:cs="黑体"/>
          <w:snapToGrid w:val="0"/>
          <w:color w:val="000000"/>
          <w:sz w:val="32"/>
          <w:szCs w:val="32"/>
        </w:rPr>
        <w:t>第一章</w:t>
      </w:r>
      <w:r>
        <w:rPr>
          <w:rFonts w:ascii="黑体" w:hAnsi="黑体" w:eastAsia="黑体" w:cs="黑体"/>
          <w:snapToGrid w:val="0"/>
          <w:color w:val="000000"/>
          <w:sz w:val="32"/>
          <w:szCs w:val="32"/>
        </w:rPr>
        <w:t xml:space="preserve">  </w:t>
      </w:r>
      <w:r>
        <w:rPr>
          <w:rFonts w:hint="eastAsia" w:ascii="黑体" w:hAnsi="黑体" w:eastAsia="黑体" w:cs="黑体"/>
          <w:snapToGrid w:val="0"/>
          <w:color w:val="000000"/>
          <w:sz w:val="32"/>
          <w:szCs w:val="32"/>
        </w:rPr>
        <w:t>总</w:t>
      </w:r>
      <w:r>
        <w:rPr>
          <w:rFonts w:ascii="黑体" w:hAnsi="黑体" w:eastAsia="黑体" w:cs="黑体"/>
          <w:snapToGrid w:val="0"/>
          <w:color w:val="000000"/>
          <w:sz w:val="32"/>
          <w:szCs w:val="32"/>
        </w:rPr>
        <w:t xml:space="preserve">  </w:t>
      </w:r>
      <w:r>
        <w:rPr>
          <w:rFonts w:hint="eastAsia" w:ascii="黑体" w:hAnsi="黑体" w:eastAsia="黑体" w:cs="黑体"/>
          <w:snapToGrid w:val="0"/>
          <w:color w:val="000000"/>
          <w:sz w:val="32"/>
          <w:szCs w:val="32"/>
        </w:rPr>
        <w:t>则</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黑体" w:hAnsi="黑体" w:eastAsia="黑体" w:cs="黑体"/>
          <w:snapToGrid w:val="0"/>
          <w:color w:val="000000"/>
          <w:sz w:val="32"/>
          <w:szCs w:val="32"/>
        </w:rPr>
        <w:t>第一条</w:t>
      </w:r>
      <w:r>
        <w:rPr>
          <w:rFonts w:ascii="仿宋" w:hAnsi="仿宋" w:eastAsia="仿宋" w:cs="仿宋"/>
          <w:snapToGrid w:val="0"/>
          <w:color w:val="000000"/>
          <w:sz w:val="32"/>
          <w:szCs w:val="32"/>
        </w:rPr>
        <w:t xml:space="preserve">  </w:t>
      </w:r>
      <w:r>
        <w:rPr>
          <w:rFonts w:hint="eastAsia" w:ascii="仿宋" w:hAnsi="仿宋" w:eastAsia="仿宋" w:cs="仿宋"/>
          <w:snapToGrid w:val="0"/>
          <w:color w:val="000000"/>
          <w:sz w:val="32"/>
          <w:szCs w:val="32"/>
        </w:rPr>
        <w:t>为了加强和规范电信设施建设和保护，保障电信设施稳定运行和电信网络安全畅通，维护电信用户和电信业务经营者的合法权益，促进经济社会发展，根据《中华人民共和国电信条例》等有关法律、行政法规，结合本自治区实际，制定本条例。</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黑体" w:hAnsi="黑体" w:eastAsia="黑体" w:cs="黑体"/>
          <w:snapToGrid w:val="0"/>
          <w:color w:val="000000"/>
          <w:sz w:val="32"/>
          <w:szCs w:val="32"/>
        </w:rPr>
        <w:t>第二条</w:t>
      </w:r>
      <w:r>
        <w:rPr>
          <w:rFonts w:ascii="仿宋" w:hAnsi="仿宋" w:eastAsia="仿宋" w:cs="仿宋"/>
          <w:snapToGrid w:val="0"/>
          <w:color w:val="000000"/>
          <w:sz w:val="32"/>
          <w:szCs w:val="32"/>
        </w:rPr>
        <w:t xml:space="preserve">  </w:t>
      </w:r>
      <w:r>
        <w:rPr>
          <w:rFonts w:hint="eastAsia" w:ascii="仿宋" w:hAnsi="仿宋" w:eastAsia="仿宋" w:cs="仿宋"/>
          <w:snapToGrid w:val="0"/>
          <w:color w:val="000000"/>
          <w:sz w:val="32"/>
          <w:szCs w:val="32"/>
        </w:rPr>
        <w:t>本自治区行政区域内电信设施的建设和保护适用本条例。</w:t>
      </w:r>
    </w:p>
    <w:p>
      <w:pPr>
        <w:adjustRightInd w:val="0"/>
        <w:snapToGrid w:val="0"/>
        <w:spacing w:line="580" w:lineRule="exact"/>
        <w:ind w:firstLine="640" w:firstLineChars="200"/>
        <w:rPr>
          <w:rFonts w:ascii="仿宋" w:hAnsi="仿宋" w:eastAsia="仿宋"/>
          <w:snapToGrid w:val="0"/>
          <w:color w:val="000000"/>
          <w:sz w:val="32"/>
          <w:szCs w:val="32"/>
        </w:rPr>
      </w:pPr>
      <w:r>
        <w:rPr>
          <w:rFonts w:hint="eastAsia" w:ascii="仿宋" w:hAnsi="仿宋" w:eastAsia="仿宋" w:cs="仿宋"/>
          <w:snapToGrid w:val="0"/>
          <w:color w:val="000000"/>
          <w:sz w:val="32"/>
          <w:szCs w:val="32"/>
        </w:rPr>
        <w:t>专用电信网的建设和保护，不适用本条例。</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黑体" w:hAnsi="黑体" w:eastAsia="黑体" w:cs="黑体"/>
          <w:snapToGrid w:val="0"/>
          <w:color w:val="000000"/>
          <w:sz w:val="32"/>
          <w:szCs w:val="32"/>
        </w:rPr>
        <w:t>第三条</w:t>
      </w:r>
      <w:r>
        <w:rPr>
          <w:rFonts w:ascii="仿宋" w:hAnsi="仿宋" w:eastAsia="仿宋" w:cs="仿宋"/>
          <w:snapToGrid w:val="0"/>
          <w:color w:val="000000"/>
          <w:sz w:val="32"/>
          <w:szCs w:val="32"/>
        </w:rPr>
        <w:t xml:space="preserve">  </w:t>
      </w:r>
      <w:r>
        <w:rPr>
          <w:rFonts w:hint="eastAsia" w:ascii="仿宋" w:hAnsi="仿宋" w:eastAsia="仿宋" w:cs="仿宋"/>
          <w:snapToGrid w:val="0"/>
          <w:color w:val="000000"/>
          <w:sz w:val="32"/>
          <w:szCs w:val="32"/>
        </w:rPr>
        <w:t>本条例所称电信设施，是指为社会公众提供电信服务并实现电信功能的通信交换、传输、数据存储设备、通信线路及其配套设施，包括通信机房、基站、光（电）缆、管道、杆（塔）、分线箱（盒）、交接箱（间）、节点设备和供电设施等。</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黑体" w:hAnsi="黑体" w:eastAsia="黑体" w:cs="黑体"/>
          <w:snapToGrid w:val="0"/>
          <w:color w:val="000000"/>
          <w:sz w:val="32"/>
          <w:szCs w:val="32"/>
        </w:rPr>
        <w:t>第四条</w:t>
      </w:r>
      <w:r>
        <w:rPr>
          <w:rFonts w:ascii="仿宋" w:hAnsi="仿宋" w:eastAsia="仿宋" w:cs="仿宋"/>
          <w:snapToGrid w:val="0"/>
          <w:color w:val="000000"/>
          <w:sz w:val="32"/>
          <w:szCs w:val="32"/>
        </w:rPr>
        <w:t xml:space="preserve">  </w:t>
      </w:r>
      <w:r>
        <w:rPr>
          <w:rFonts w:hint="eastAsia" w:ascii="仿宋" w:hAnsi="仿宋" w:eastAsia="仿宋" w:cs="仿宋"/>
          <w:snapToGrid w:val="0"/>
          <w:color w:val="000000"/>
          <w:sz w:val="32"/>
          <w:szCs w:val="32"/>
        </w:rPr>
        <w:t>电信设施建设和保护应当遵循统筹规划、适度超前、合理布局、资源共享、安全可靠和绿色协调的原则。</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黑体" w:hAnsi="黑体" w:eastAsia="黑体" w:cs="黑体"/>
          <w:snapToGrid w:val="0"/>
          <w:color w:val="000000"/>
          <w:sz w:val="32"/>
          <w:szCs w:val="32"/>
        </w:rPr>
        <w:t>第五条</w:t>
      </w:r>
      <w:r>
        <w:rPr>
          <w:rFonts w:ascii="仿宋" w:hAnsi="仿宋" w:eastAsia="仿宋" w:cs="仿宋"/>
          <w:snapToGrid w:val="0"/>
          <w:color w:val="000000"/>
          <w:sz w:val="32"/>
          <w:szCs w:val="32"/>
        </w:rPr>
        <w:t xml:space="preserve">  </w:t>
      </w:r>
      <w:r>
        <w:rPr>
          <w:rFonts w:hint="eastAsia" w:ascii="仿宋" w:hAnsi="仿宋" w:eastAsia="仿宋" w:cs="仿宋"/>
          <w:snapToGrid w:val="0"/>
          <w:color w:val="000000"/>
          <w:sz w:val="32"/>
          <w:szCs w:val="32"/>
        </w:rPr>
        <w:t>县级以上人民政府应当加大对电信设施建设与保护的资金投入和政策支持，帮助和扶持革命老区、少数民族聚居区、贫困地区、边境地区和有居民海岛加强电信设施建设与保护工作。</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黑体" w:hAnsi="黑体" w:eastAsia="黑体" w:cs="黑体"/>
          <w:snapToGrid w:val="0"/>
          <w:color w:val="000000"/>
          <w:sz w:val="32"/>
          <w:szCs w:val="32"/>
        </w:rPr>
        <w:t>第六条</w:t>
      </w:r>
      <w:r>
        <w:rPr>
          <w:rFonts w:ascii="仿宋" w:hAnsi="仿宋" w:eastAsia="仿宋" w:cs="仿宋"/>
          <w:snapToGrid w:val="0"/>
          <w:color w:val="000000"/>
          <w:sz w:val="32"/>
          <w:szCs w:val="32"/>
        </w:rPr>
        <w:t xml:space="preserve">  </w:t>
      </w:r>
      <w:r>
        <w:rPr>
          <w:rFonts w:hint="eastAsia" w:ascii="仿宋" w:hAnsi="仿宋" w:eastAsia="仿宋" w:cs="仿宋"/>
          <w:snapToGrid w:val="0"/>
          <w:color w:val="000000"/>
          <w:sz w:val="32"/>
          <w:szCs w:val="32"/>
        </w:rPr>
        <w:t>县级以上人民政府应当加强对电信设施建设与保护工作的组织领导，建立组织协调机制，统筹协调电信设施规划、建设、管理、运行与保护工作。</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仿宋" w:hAnsi="仿宋" w:eastAsia="仿宋" w:cs="仿宋"/>
          <w:snapToGrid w:val="0"/>
          <w:color w:val="000000"/>
          <w:sz w:val="32"/>
          <w:szCs w:val="32"/>
        </w:rPr>
        <w:t>乡镇人民政府、街道办事处、村（居）民委员会应当协助做好电信设施建设与保护工作。</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黑体" w:hAnsi="黑体" w:eastAsia="黑体" w:cs="黑体"/>
          <w:snapToGrid w:val="0"/>
          <w:color w:val="000000"/>
          <w:sz w:val="32"/>
          <w:szCs w:val="32"/>
        </w:rPr>
        <w:t>第七条</w:t>
      </w:r>
      <w:r>
        <w:rPr>
          <w:rFonts w:ascii="仿宋" w:hAnsi="仿宋" w:eastAsia="仿宋" w:cs="仿宋"/>
          <w:snapToGrid w:val="0"/>
          <w:color w:val="000000"/>
          <w:sz w:val="32"/>
          <w:szCs w:val="32"/>
        </w:rPr>
        <w:t xml:space="preserve">  </w:t>
      </w:r>
      <w:r>
        <w:rPr>
          <w:rFonts w:hint="eastAsia" w:ascii="仿宋" w:hAnsi="仿宋" w:eastAsia="仿宋" w:cs="仿宋"/>
          <w:snapToGrid w:val="0"/>
          <w:color w:val="000000"/>
          <w:sz w:val="32"/>
          <w:szCs w:val="32"/>
        </w:rPr>
        <w:t>自治区电信管理机构负责全区电信设施建设与保护的组织协调、监督管理工作。</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仿宋" w:hAnsi="仿宋" w:eastAsia="仿宋" w:cs="仿宋"/>
          <w:snapToGrid w:val="0"/>
          <w:color w:val="000000"/>
          <w:sz w:val="32"/>
          <w:szCs w:val="32"/>
        </w:rPr>
        <w:t>自治区电信管理机构可以委托设区的市人民政府有关行政主管部门或者具有管理公共事务职能的组织履行监督检查、行政处罚职责。</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仿宋" w:hAnsi="仿宋" w:eastAsia="仿宋" w:cs="仿宋"/>
          <w:snapToGrid w:val="0"/>
          <w:color w:val="000000"/>
          <w:sz w:val="32"/>
          <w:szCs w:val="32"/>
        </w:rPr>
        <w:t>县级以上人民政府发展改革、工业和信息化、公安、国土资源、环境保护、住房城乡建设、交通运输、林业等有关部门在各自职责范围内，依法做好电信设施规划、建设与保护工作。</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黑体" w:hAnsi="黑体" w:eastAsia="黑体" w:cs="黑体"/>
          <w:snapToGrid w:val="0"/>
          <w:color w:val="000000"/>
          <w:sz w:val="32"/>
          <w:szCs w:val="32"/>
        </w:rPr>
        <w:t>第八条</w:t>
      </w:r>
      <w:r>
        <w:rPr>
          <w:rFonts w:ascii="仿宋" w:hAnsi="仿宋" w:eastAsia="仿宋" w:cs="仿宋"/>
          <w:snapToGrid w:val="0"/>
          <w:color w:val="000000"/>
          <w:sz w:val="32"/>
          <w:szCs w:val="32"/>
        </w:rPr>
        <w:t xml:space="preserve">  </w:t>
      </w:r>
      <w:r>
        <w:rPr>
          <w:rFonts w:hint="eastAsia" w:ascii="仿宋" w:hAnsi="仿宋" w:eastAsia="仿宋" w:cs="仿宋"/>
          <w:snapToGrid w:val="0"/>
          <w:color w:val="000000"/>
          <w:sz w:val="32"/>
          <w:szCs w:val="32"/>
        </w:rPr>
        <w:t>电信设施属于公共基础设施，受法律保护。任何单位或者个人不得阻碍依法进行的电信设施建设，不得危害电信设施安全，不得利用电信设施从事危害国家安全、公共安全、社会公共利益或者侵害他人合法权益的活动。</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仿宋" w:hAnsi="仿宋" w:eastAsia="仿宋" w:cs="仿宋"/>
          <w:snapToGrid w:val="0"/>
          <w:color w:val="000000"/>
          <w:sz w:val="32"/>
          <w:szCs w:val="32"/>
        </w:rPr>
        <w:t>任何单位或者个人有权制止危害电信设施安全的行为，并及时向公安机关、电信管理机构和相关部门举报或者告知电信业务经营者。</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黑体" w:hAnsi="黑体" w:eastAsia="黑体" w:cs="黑体"/>
          <w:snapToGrid w:val="0"/>
          <w:color w:val="000000"/>
          <w:sz w:val="32"/>
          <w:szCs w:val="32"/>
        </w:rPr>
        <w:t>第九条</w:t>
      </w:r>
      <w:r>
        <w:rPr>
          <w:rFonts w:ascii="仿宋" w:hAnsi="仿宋" w:eastAsia="仿宋" w:cs="仿宋"/>
          <w:snapToGrid w:val="0"/>
          <w:color w:val="000000"/>
          <w:sz w:val="32"/>
          <w:szCs w:val="32"/>
        </w:rPr>
        <w:t xml:space="preserve">  </w:t>
      </w:r>
      <w:r>
        <w:rPr>
          <w:rFonts w:hint="eastAsia" w:ascii="仿宋" w:hAnsi="仿宋" w:eastAsia="仿宋" w:cs="仿宋"/>
          <w:snapToGrid w:val="0"/>
          <w:color w:val="000000"/>
          <w:sz w:val="32"/>
          <w:szCs w:val="32"/>
        </w:rPr>
        <w:t>县级以上人民政府在制定突发事件应急预案时应当统筹考虑应急通信保障。</w:t>
      </w:r>
    </w:p>
    <w:p>
      <w:pPr>
        <w:tabs>
          <w:tab w:val="left" w:pos="7380"/>
        </w:tabs>
        <w:adjustRightInd w:val="0"/>
        <w:snapToGrid w:val="0"/>
        <w:spacing w:line="580" w:lineRule="exact"/>
        <w:ind w:firstLine="640" w:firstLineChars="200"/>
        <w:rPr>
          <w:rFonts w:ascii="仿宋" w:hAnsi="仿宋" w:eastAsia="仿宋"/>
          <w:snapToGrid w:val="0"/>
          <w:color w:val="000000"/>
          <w:sz w:val="32"/>
          <w:szCs w:val="32"/>
          <w:bdr w:val="single" w:color="auto" w:sz="4" w:space="0"/>
        </w:rPr>
      </w:pPr>
      <w:r>
        <w:rPr>
          <w:rFonts w:hint="eastAsia" w:ascii="仿宋" w:hAnsi="仿宋" w:eastAsia="仿宋" w:cs="仿宋"/>
          <w:snapToGrid w:val="0"/>
          <w:color w:val="000000"/>
          <w:sz w:val="32"/>
          <w:szCs w:val="32"/>
        </w:rPr>
        <w:t>自治区电信管理机构应当依法制定突发事件应急通信保障预案，指导电信业务经营者建立健全突发事件应急通信保障预案。</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仿宋" w:hAnsi="仿宋" w:eastAsia="仿宋" w:cs="仿宋"/>
          <w:snapToGrid w:val="0"/>
          <w:color w:val="000000"/>
          <w:sz w:val="32"/>
          <w:szCs w:val="32"/>
        </w:rPr>
        <w:t>电信业务经营者应当依法制定本企业相应的应急预案，建立通信应急队伍，定期组织应急演练，提高应急处置能力。</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黑体" w:hAnsi="黑体" w:eastAsia="黑体" w:cs="黑体"/>
          <w:snapToGrid w:val="0"/>
          <w:color w:val="000000"/>
          <w:sz w:val="32"/>
          <w:szCs w:val="32"/>
        </w:rPr>
        <w:t>第十条</w:t>
      </w:r>
      <w:r>
        <w:rPr>
          <w:rFonts w:ascii="仿宋" w:hAnsi="仿宋" w:eastAsia="仿宋" w:cs="仿宋"/>
          <w:snapToGrid w:val="0"/>
          <w:color w:val="000000"/>
          <w:sz w:val="32"/>
          <w:szCs w:val="32"/>
        </w:rPr>
        <w:t xml:space="preserve">  </w:t>
      </w:r>
      <w:r>
        <w:rPr>
          <w:rFonts w:hint="eastAsia" w:ascii="仿宋" w:hAnsi="仿宋" w:eastAsia="仿宋" w:cs="仿宋"/>
          <w:snapToGrid w:val="0"/>
          <w:color w:val="000000"/>
          <w:sz w:val="32"/>
          <w:szCs w:val="32"/>
        </w:rPr>
        <w:t>鼓励社会资本按照国家有关规定参与电信设施建设和维护。</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p>
    <w:p>
      <w:pPr>
        <w:tabs>
          <w:tab w:val="left" w:pos="7380"/>
        </w:tabs>
        <w:adjustRightInd w:val="0"/>
        <w:snapToGrid w:val="0"/>
        <w:spacing w:line="580" w:lineRule="exact"/>
        <w:ind w:firstLine="640" w:firstLineChars="200"/>
        <w:jc w:val="center"/>
        <w:rPr>
          <w:rFonts w:ascii="黑体" w:hAnsi="黑体" w:eastAsia="黑体"/>
          <w:snapToGrid w:val="0"/>
          <w:color w:val="000000"/>
          <w:sz w:val="32"/>
          <w:szCs w:val="32"/>
        </w:rPr>
      </w:pPr>
      <w:r>
        <w:rPr>
          <w:rFonts w:hint="eastAsia" w:ascii="黑体" w:hAnsi="黑体" w:eastAsia="黑体" w:cs="黑体"/>
          <w:snapToGrid w:val="0"/>
          <w:color w:val="000000"/>
          <w:sz w:val="32"/>
          <w:szCs w:val="32"/>
        </w:rPr>
        <w:t>第二章</w:t>
      </w:r>
      <w:r>
        <w:rPr>
          <w:rFonts w:ascii="黑体" w:hAnsi="黑体" w:eastAsia="黑体" w:cs="黑体"/>
          <w:snapToGrid w:val="0"/>
          <w:color w:val="000000"/>
          <w:sz w:val="32"/>
          <w:szCs w:val="32"/>
        </w:rPr>
        <w:t xml:space="preserve">  </w:t>
      </w:r>
      <w:r>
        <w:rPr>
          <w:rFonts w:hint="eastAsia" w:ascii="黑体" w:hAnsi="黑体" w:eastAsia="黑体" w:cs="黑体"/>
          <w:snapToGrid w:val="0"/>
          <w:color w:val="000000"/>
          <w:sz w:val="32"/>
          <w:szCs w:val="32"/>
        </w:rPr>
        <w:t>电信设施规划和建设</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黑体" w:hAnsi="黑体" w:eastAsia="黑体" w:cs="黑体"/>
          <w:snapToGrid w:val="0"/>
          <w:color w:val="000000"/>
          <w:sz w:val="32"/>
          <w:szCs w:val="32"/>
        </w:rPr>
        <w:t>第十一条</w:t>
      </w:r>
      <w:r>
        <w:rPr>
          <w:rFonts w:ascii="仿宋" w:hAnsi="仿宋" w:eastAsia="仿宋" w:cs="仿宋"/>
          <w:snapToGrid w:val="0"/>
          <w:color w:val="000000"/>
          <w:sz w:val="32"/>
          <w:szCs w:val="32"/>
        </w:rPr>
        <w:t xml:space="preserve">  </w:t>
      </w:r>
      <w:r>
        <w:rPr>
          <w:rFonts w:hint="eastAsia" w:ascii="仿宋" w:hAnsi="仿宋" w:eastAsia="仿宋" w:cs="仿宋"/>
          <w:snapToGrid w:val="0"/>
          <w:color w:val="000000"/>
          <w:sz w:val="32"/>
          <w:szCs w:val="32"/>
        </w:rPr>
        <w:t>县级以上人民政府应当将电信设施的建设纳入本行政区域内国民经济和社会发展规划、城乡规划以及土地利用总体规划，并与全区电信设施发展规划相衔接。</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仿宋" w:hAnsi="仿宋" w:eastAsia="仿宋" w:cs="仿宋"/>
          <w:snapToGrid w:val="0"/>
          <w:color w:val="000000"/>
          <w:sz w:val="32"/>
          <w:szCs w:val="32"/>
        </w:rPr>
        <w:t>自治区电信管理机构负责编制全区电信设施发展规划。编制电信设施发展规划应当符合国民经济和社会发展规划、城乡规划以及土地利用总体规划，并报自治区人民政府批准后组织实施。</w:t>
      </w:r>
    </w:p>
    <w:p>
      <w:pPr>
        <w:shd w:val="clear" w:color="auto" w:fill="FFFFFF"/>
        <w:adjustRightInd w:val="0"/>
        <w:snapToGrid w:val="0"/>
        <w:spacing w:line="580" w:lineRule="exact"/>
        <w:ind w:firstLine="640" w:firstLineChars="200"/>
        <w:rPr>
          <w:rFonts w:ascii="仿宋" w:hAnsi="仿宋" w:eastAsia="仿宋"/>
          <w:snapToGrid w:val="0"/>
          <w:color w:val="000000"/>
          <w:sz w:val="32"/>
          <w:szCs w:val="32"/>
        </w:rPr>
      </w:pPr>
      <w:r>
        <w:rPr>
          <w:rFonts w:hint="eastAsia" w:ascii="黑体" w:hAnsi="黑体" w:eastAsia="黑体" w:cs="黑体"/>
          <w:snapToGrid w:val="0"/>
          <w:color w:val="000000"/>
          <w:sz w:val="32"/>
          <w:szCs w:val="32"/>
        </w:rPr>
        <w:t>第十二条</w:t>
      </w:r>
      <w:r>
        <w:rPr>
          <w:rFonts w:ascii="仿宋" w:hAnsi="仿宋" w:eastAsia="仿宋" w:cs="仿宋"/>
          <w:snapToGrid w:val="0"/>
          <w:color w:val="000000"/>
          <w:sz w:val="32"/>
          <w:szCs w:val="32"/>
        </w:rPr>
        <w:t xml:space="preserve">  </w:t>
      </w:r>
      <w:r>
        <w:rPr>
          <w:rFonts w:hint="eastAsia" w:ascii="仿宋" w:hAnsi="仿宋" w:eastAsia="仿宋" w:cs="仿宋"/>
          <w:snapToGrid w:val="0"/>
          <w:color w:val="000000"/>
          <w:sz w:val="32"/>
          <w:szCs w:val="32"/>
        </w:rPr>
        <w:t>自治区电信管理机构应当会同自治区人民政府城乡规划、国土资源、环境保护等有关部门组织编制全区电信设施专项规划。</w:t>
      </w:r>
    </w:p>
    <w:p>
      <w:pPr>
        <w:shd w:val="clear" w:color="auto" w:fill="FFFFFF"/>
        <w:adjustRightInd w:val="0"/>
        <w:snapToGrid w:val="0"/>
        <w:spacing w:line="580" w:lineRule="exact"/>
        <w:ind w:firstLine="640" w:firstLineChars="200"/>
        <w:rPr>
          <w:rFonts w:ascii="仿宋" w:hAnsi="仿宋" w:eastAsia="仿宋"/>
          <w:snapToGrid w:val="0"/>
          <w:color w:val="000000"/>
          <w:sz w:val="32"/>
          <w:szCs w:val="32"/>
        </w:rPr>
      </w:pPr>
      <w:r>
        <w:rPr>
          <w:rFonts w:hint="eastAsia" w:ascii="仿宋" w:hAnsi="仿宋" w:eastAsia="仿宋" w:cs="仿宋"/>
          <w:snapToGrid w:val="0"/>
          <w:color w:val="000000"/>
          <w:sz w:val="32"/>
          <w:szCs w:val="32"/>
        </w:rPr>
        <w:t>设区的市、县级人民政府在组织编制城乡规划时，应当编写电信设施建设内容，并征求自治区电信管理机构的意见。</w:t>
      </w:r>
    </w:p>
    <w:p>
      <w:pPr>
        <w:shd w:val="clear" w:color="auto" w:fill="FFFFFF"/>
        <w:adjustRightInd w:val="0"/>
        <w:snapToGrid w:val="0"/>
        <w:spacing w:line="580" w:lineRule="exact"/>
        <w:ind w:firstLine="640" w:firstLineChars="200"/>
        <w:rPr>
          <w:rFonts w:ascii="仿宋" w:hAnsi="仿宋" w:eastAsia="仿宋"/>
          <w:snapToGrid w:val="0"/>
          <w:color w:val="000000"/>
          <w:sz w:val="32"/>
          <w:szCs w:val="32"/>
        </w:rPr>
      </w:pPr>
      <w:r>
        <w:rPr>
          <w:rFonts w:hint="eastAsia" w:ascii="仿宋" w:hAnsi="仿宋" w:eastAsia="仿宋" w:cs="仿宋"/>
          <w:snapToGrid w:val="0"/>
          <w:color w:val="000000"/>
          <w:sz w:val="32"/>
          <w:szCs w:val="32"/>
        </w:rPr>
        <w:t>县级以上人民政府有关部门在编制、修改涉及电信设施建设的专项规划时，应当征求自治区电信管理机构的意见。</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黑体" w:hAnsi="黑体" w:eastAsia="黑体" w:cs="黑体"/>
          <w:snapToGrid w:val="0"/>
          <w:color w:val="000000"/>
          <w:sz w:val="32"/>
          <w:szCs w:val="32"/>
        </w:rPr>
        <w:t>第十三条</w:t>
      </w:r>
      <w:r>
        <w:rPr>
          <w:rFonts w:ascii="仿宋" w:hAnsi="仿宋" w:eastAsia="仿宋" w:cs="仿宋"/>
          <w:snapToGrid w:val="0"/>
          <w:color w:val="000000"/>
          <w:sz w:val="32"/>
          <w:szCs w:val="32"/>
        </w:rPr>
        <w:t xml:space="preserve">  </w:t>
      </w:r>
      <w:r>
        <w:rPr>
          <w:rFonts w:hint="eastAsia" w:ascii="仿宋" w:hAnsi="仿宋" w:eastAsia="仿宋" w:cs="仿宋"/>
          <w:snapToGrid w:val="0"/>
          <w:color w:val="000000"/>
          <w:sz w:val="32"/>
          <w:szCs w:val="32"/>
        </w:rPr>
        <w:t>城市人民政府城乡规划主管部门以及镇人民政府编制控制性详细规划时，应当对电信设施建设作出规划要求。</w:t>
      </w:r>
    </w:p>
    <w:p>
      <w:pPr>
        <w:tabs>
          <w:tab w:val="left" w:pos="7380"/>
        </w:tabs>
        <w:adjustRightInd w:val="0"/>
        <w:snapToGrid w:val="0"/>
        <w:spacing w:line="580" w:lineRule="exact"/>
        <w:ind w:firstLine="640" w:firstLineChars="200"/>
        <w:rPr>
          <w:rFonts w:ascii="仿宋" w:hAnsi="仿宋" w:eastAsia="仿宋"/>
          <w:color w:val="000000"/>
          <w:kern w:val="0"/>
          <w:sz w:val="32"/>
          <w:szCs w:val="32"/>
        </w:rPr>
      </w:pPr>
      <w:r>
        <w:rPr>
          <w:rFonts w:hint="eastAsia" w:ascii="仿宋" w:hAnsi="仿宋" w:eastAsia="仿宋" w:cs="仿宋"/>
          <w:color w:val="000000"/>
          <w:kern w:val="0"/>
          <w:sz w:val="32"/>
          <w:szCs w:val="32"/>
        </w:rPr>
        <w:t>县级以上人民政府应当根据</w:t>
      </w:r>
      <w:r>
        <w:rPr>
          <w:rFonts w:hint="eastAsia" w:ascii="仿宋" w:hAnsi="仿宋" w:eastAsia="仿宋" w:cs="仿宋"/>
          <w:snapToGrid w:val="0"/>
          <w:color w:val="000000"/>
          <w:sz w:val="32"/>
          <w:szCs w:val="32"/>
        </w:rPr>
        <w:t>全区电信设施发展规划、</w:t>
      </w:r>
      <w:r>
        <w:rPr>
          <w:rFonts w:hint="eastAsia" w:ascii="仿宋" w:hAnsi="仿宋" w:eastAsia="仿宋" w:cs="仿宋"/>
          <w:color w:val="000000"/>
          <w:kern w:val="0"/>
          <w:sz w:val="32"/>
          <w:szCs w:val="32"/>
        </w:rPr>
        <w:t>专项规划，将需要独立占地的公共电信基础设施纳入城乡规划和土地利用总体规划，合理安排建设用地。</w:t>
      </w:r>
    </w:p>
    <w:p>
      <w:pPr>
        <w:widowControl/>
        <w:spacing w:line="580" w:lineRule="exact"/>
        <w:ind w:firstLine="640" w:firstLineChars="200"/>
        <w:jc w:val="left"/>
        <w:rPr>
          <w:rFonts w:ascii="仿宋" w:hAnsi="仿宋" w:eastAsia="仿宋"/>
          <w:color w:val="000000"/>
          <w:kern w:val="0"/>
          <w:sz w:val="32"/>
          <w:szCs w:val="32"/>
        </w:rPr>
      </w:pPr>
      <w:bookmarkStart w:id="0" w:name="_GoBack"/>
      <w:bookmarkEnd w:id="0"/>
      <w:r>
        <w:rPr>
          <w:rFonts w:hint="eastAsia" w:ascii="仿宋" w:hAnsi="仿宋" w:eastAsia="仿宋" w:cs="仿宋"/>
          <w:color w:val="000000"/>
          <w:kern w:val="0"/>
          <w:sz w:val="32"/>
          <w:szCs w:val="32"/>
        </w:rPr>
        <w:t>乡镇人民政府、村民委员会应当对农村公共电信基础设施零星分散用地给予支持。</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黑体" w:hAnsi="黑体" w:eastAsia="黑体" w:cs="黑体"/>
          <w:snapToGrid w:val="0"/>
          <w:color w:val="000000"/>
          <w:sz w:val="32"/>
          <w:szCs w:val="32"/>
        </w:rPr>
        <w:t>第十四条</w:t>
      </w:r>
      <w:r>
        <w:rPr>
          <w:rFonts w:ascii="仿宋" w:hAnsi="仿宋" w:eastAsia="仿宋" w:cs="仿宋"/>
          <w:snapToGrid w:val="0"/>
          <w:color w:val="000000"/>
          <w:sz w:val="32"/>
          <w:szCs w:val="32"/>
        </w:rPr>
        <w:t xml:space="preserve">  </w:t>
      </w:r>
      <w:r>
        <w:rPr>
          <w:rFonts w:hint="eastAsia" w:ascii="仿宋" w:hAnsi="仿宋" w:eastAsia="仿宋" w:cs="仿宋"/>
          <w:snapToGrid w:val="0"/>
          <w:color w:val="000000"/>
          <w:sz w:val="32"/>
          <w:szCs w:val="32"/>
        </w:rPr>
        <w:t>自治区电信管理机构应当根据全区电信设施发展规划和专项规划，组织协调电信设施建设单位开展电信设施共建共享工作。</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仿宋" w:hAnsi="仿宋" w:eastAsia="仿宋" w:cs="仿宋"/>
          <w:snapToGrid w:val="0"/>
          <w:color w:val="000000"/>
          <w:sz w:val="32"/>
          <w:szCs w:val="32"/>
        </w:rPr>
        <w:t>电信设施建设单位应当对新建、改建或者扩建的电信设施按照国家规定实行统一建设或者联合建设。已有的电信设施应当资源共享；不具备共享条件的，应当采取技术改造、扩建等方式实现共享。</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黑体" w:hAnsi="黑体" w:eastAsia="黑体" w:cs="黑体"/>
          <w:snapToGrid w:val="0"/>
          <w:color w:val="000000"/>
          <w:sz w:val="32"/>
          <w:szCs w:val="32"/>
        </w:rPr>
        <w:t>第十五条</w:t>
      </w:r>
      <w:r>
        <w:rPr>
          <w:rFonts w:ascii="仿宋" w:hAnsi="仿宋" w:eastAsia="仿宋" w:cs="仿宋"/>
          <w:snapToGrid w:val="0"/>
          <w:color w:val="000000"/>
          <w:sz w:val="32"/>
          <w:szCs w:val="32"/>
        </w:rPr>
        <w:t xml:space="preserve">  </w:t>
      </w:r>
      <w:r>
        <w:rPr>
          <w:rFonts w:hint="eastAsia" w:ascii="仿宋" w:hAnsi="仿宋" w:eastAsia="仿宋" w:cs="仿宋"/>
          <w:snapToGrid w:val="0"/>
          <w:color w:val="000000"/>
          <w:sz w:val="32"/>
          <w:szCs w:val="32"/>
        </w:rPr>
        <w:t>电信设施建设应当与当地城乡风貌、自然景观相协调。已建成的电信设施不符合协调性要求的，应当逐步进行改造。新建基站和天线应当小型化、美观化。</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仿宋" w:hAnsi="仿宋" w:eastAsia="仿宋" w:cs="仿宋"/>
          <w:snapToGrid w:val="0"/>
          <w:color w:val="000000"/>
          <w:sz w:val="32"/>
          <w:szCs w:val="32"/>
        </w:rPr>
        <w:t>在国道、省道和城市主干道沿线、风景名胜区、文物保护区以及历史文化名城、名镇、名村、名街区、城市广场等区域建设电信设施，应当在符合相关规划的条件下，采取景观化或者隐蔽化方式建设。</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黑体" w:hAnsi="黑体" w:eastAsia="黑体" w:cs="黑体"/>
          <w:snapToGrid w:val="0"/>
          <w:color w:val="000000"/>
          <w:sz w:val="32"/>
          <w:szCs w:val="32"/>
        </w:rPr>
        <w:t>第十六条</w:t>
      </w:r>
      <w:r>
        <w:rPr>
          <w:rFonts w:ascii="仿宋" w:hAnsi="仿宋" w:eastAsia="仿宋" w:cs="仿宋"/>
          <w:snapToGrid w:val="0"/>
          <w:color w:val="000000"/>
          <w:sz w:val="32"/>
          <w:szCs w:val="32"/>
        </w:rPr>
        <w:t xml:space="preserve">  </w:t>
      </w:r>
      <w:r>
        <w:rPr>
          <w:rFonts w:hint="eastAsia" w:ascii="仿宋" w:hAnsi="仿宋" w:eastAsia="仿宋" w:cs="仿宋"/>
          <w:snapToGrid w:val="0"/>
          <w:color w:val="000000"/>
          <w:sz w:val="32"/>
          <w:szCs w:val="32"/>
        </w:rPr>
        <w:t>县级以上人民政府以及有关部门应当支持电信普遍服务，为通信基础网络管道租用，通信基础网络管线穿越公路、铁路、桥梁、河道、堤岸，以及移动通信网络覆盖地铁沿线等提供便利条件。</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黑体" w:hAnsi="黑体" w:eastAsia="黑体" w:cs="黑体"/>
          <w:snapToGrid w:val="0"/>
          <w:color w:val="000000"/>
          <w:sz w:val="32"/>
          <w:szCs w:val="32"/>
        </w:rPr>
        <w:t>第十七条</w:t>
      </w:r>
      <w:r>
        <w:rPr>
          <w:rFonts w:ascii="仿宋" w:hAnsi="仿宋" w:eastAsia="仿宋" w:cs="仿宋"/>
          <w:snapToGrid w:val="0"/>
          <w:color w:val="000000"/>
          <w:sz w:val="32"/>
          <w:szCs w:val="32"/>
        </w:rPr>
        <w:t xml:space="preserve">  </w:t>
      </w:r>
      <w:r>
        <w:rPr>
          <w:rFonts w:hint="eastAsia" w:ascii="仿宋" w:hAnsi="仿宋" w:eastAsia="仿宋" w:cs="仿宋"/>
          <w:snapToGrid w:val="0"/>
          <w:color w:val="000000"/>
          <w:sz w:val="32"/>
          <w:szCs w:val="32"/>
        </w:rPr>
        <w:t>电信业务经营者应当适应经济建设和群众生活需要，不断完善电信普遍服务，加大革命老区、少数民族聚居区、贫困地区、边境地区、农林场和有居民海岛的电信设施建设力度，按照要求逐步实现本行政区域内村屯、农林场职工聚居地电信信号全覆盖。</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黑体" w:hAnsi="黑体" w:eastAsia="黑体" w:cs="黑体"/>
          <w:snapToGrid w:val="0"/>
          <w:color w:val="000000"/>
          <w:sz w:val="32"/>
          <w:szCs w:val="32"/>
        </w:rPr>
        <w:t>第十八条</w:t>
      </w:r>
      <w:r>
        <w:rPr>
          <w:rFonts w:ascii="仿宋" w:hAnsi="仿宋" w:eastAsia="仿宋" w:cs="仿宋"/>
          <w:snapToGrid w:val="0"/>
          <w:color w:val="000000"/>
          <w:sz w:val="32"/>
          <w:szCs w:val="32"/>
        </w:rPr>
        <w:t xml:space="preserve">  </w:t>
      </w:r>
      <w:r>
        <w:rPr>
          <w:rFonts w:hint="eastAsia" w:ascii="仿宋" w:hAnsi="仿宋" w:eastAsia="仿宋" w:cs="仿宋"/>
          <w:snapToGrid w:val="0"/>
          <w:color w:val="000000"/>
          <w:sz w:val="32"/>
          <w:szCs w:val="32"/>
        </w:rPr>
        <w:t>在国有土地上建设通信机房、基站、管道、杆（塔）等电信设施的，应当依法办理相关用地手续。涉及用海的，应当依法办理相关用海手续。</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仿宋" w:hAnsi="仿宋" w:eastAsia="仿宋" w:cs="仿宋"/>
          <w:snapToGrid w:val="0"/>
          <w:color w:val="000000"/>
          <w:sz w:val="32"/>
          <w:szCs w:val="32"/>
        </w:rPr>
        <w:t>在集体土地上建设通信机房、基站、管道、杆（塔）等电信设施的，应当与集体土地的所有权人、使用权人、承包权人或者经营权人协商采取有偿使用方式解决，并依法办理相关手续。</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黑体" w:hAnsi="黑体" w:eastAsia="黑体" w:cs="黑体"/>
          <w:snapToGrid w:val="0"/>
          <w:color w:val="000000"/>
          <w:sz w:val="32"/>
          <w:szCs w:val="32"/>
        </w:rPr>
        <w:t>第十九条</w:t>
      </w:r>
      <w:r>
        <w:rPr>
          <w:rFonts w:ascii="仿宋" w:hAnsi="仿宋" w:eastAsia="仿宋" w:cs="仿宋"/>
          <w:snapToGrid w:val="0"/>
          <w:color w:val="000000"/>
          <w:sz w:val="32"/>
          <w:szCs w:val="32"/>
        </w:rPr>
        <w:t xml:space="preserve">  </w:t>
      </w:r>
      <w:r>
        <w:rPr>
          <w:rFonts w:hint="eastAsia" w:ascii="仿宋" w:hAnsi="仿宋" w:eastAsia="仿宋" w:cs="仿宋"/>
          <w:snapToGrid w:val="0"/>
          <w:color w:val="000000"/>
          <w:sz w:val="32"/>
          <w:szCs w:val="32"/>
        </w:rPr>
        <w:t>城市、镇电信线路建设应当按照国家有关规定纳入城市、镇地下综合管廊（沟）建设。具备入地条件的，不得在城市、镇建成区内建设架空电信线路。城市、镇建成区内已有的架空电信线路应当逐步入地。</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仿宋" w:hAnsi="仿宋" w:eastAsia="仿宋" w:cs="仿宋"/>
          <w:snapToGrid w:val="0"/>
          <w:color w:val="000000"/>
          <w:sz w:val="32"/>
          <w:szCs w:val="32"/>
        </w:rPr>
        <w:t>城市、镇人民政府应当统一规划城市、镇地下综合管廊（沟），为电信线路纳入城市、镇地下综合管廊（沟）提供条件。</w:t>
      </w:r>
    </w:p>
    <w:p>
      <w:pPr>
        <w:adjustRightInd w:val="0"/>
        <w:snapToGrid w:val="0"/>
        <w:spacing w:line="580" w:lineRule="exact"/>
        <w:ind w:firstLine="640" w:firstLineChars="200"/>
        <w:rPr>
          <w:rFonts w:ascii="仿宋" w:hAnsi="仿宋" w:eastAsia="仿宋"/>
          <w:snapToGrid w:val="0"/>
          <w:color w:val="000000"/>
          <w:sz w:val="32"/>
          <w:szCs w:val="32"/>
        </w:rPr>
      </w:pPr>
      <w:r>
        <w:rPr>
          <w:rFonts w:hint="eastAsia" w:ascii="黑体" w:hAnsi="黑体" w:eastAsia="黑体" w:cs="黑体"/>
          <w:snapToGrid w:val="0"/>
          <w:color w:val="000000"/>
          <w:sz w:val="32"/>
          <w:szCs w:val="32"/>
        </w:rPr>
        <w:t>第二十条</w:t>
      </w:r>
      <w:r>
        <w:rPr>
          <w:rFonts w:ascii="仿宋" w:hAnsi="仿宋" w:eastAsia="仿宋" w:cs="仿宋"/>
          <w:snapToGrid w:val="0"/>
          <w:color w:val="000000"/>
          <w:sz w:val="32"/>
          <w:szCs w:val="32"/>
        </w:rPr>
        <w:t xml:space="preserve">  </w:t>
      </w:r>
      <w:r>
        <w:rPr>
          <w:rFonts w:hint="eastAsia" w:ascii="仿宋" w:hAnsi="仿宋" w:eastAsia="仿宋" w:cs="仿宋"/>
          <w:snapToGrid w:val="0"/>
          <w:color w:val="000000"/>
          <w:sz w:val="32"/>
          <w:szCs w:val="32"/>
        </w:rPr>
        <w:t>下列建设项目或者场所应当配套建设电信设施：</w:t>
      </w:r>
    </w:p>
    <w:p>
      <w:pPr>
        <w:adjustRightInd w:val="0"/>
        <w:snapToGrid w:val="0"/>
        <w:spacing w:line="580" w:lineRule="exact"/>
        <w:ind w:firstLine="640" w:firstLineChars="200"/>
        <w:rPr>
          <w:rFonts w:ascii="仿宋" w:hAnsi="仿宋" w:eastAsia="仿宋"/>
          <w:snapToGrid w:val="0"/>
          <w:color w:val="000000"/>
          <w:sz w:val="32"/>
          <w:szCs w:val="32"/>
        </w:rPr>
      </w:pPr>
      <w:r>
        <w:rPr>
          <w:rFonts w:hint="eastAsia" w:ascii="仿宋" w:hAnsi="仿宋" w:eastAsia="仿宋" w:cs="仿宋"/>
          <w:snapToGrid w:val="0"/>
          <w:color w:val="000000"/>
          <w:sz w:val="32"/>
          <w:szCs w:val="32"/>
        </w:rPr>
        <w:t>（一）开发区、产业园区；</w:t>
      </w:r>
    </w:p>
    <w:p>
      <w:pPr>
        <w:adjustRightInd w:val="0"/>
        <w:snapToGrid w:val="0"/>
        <w:spacing w:line="580" w:lineRule="exact"/>
        <w:ind w:firstLine="640" w:firstLineChars="200"/>
        <w:rPr>
          <w:rFonts w:ascii="仿宋" w:hAnsi="仿宋" w:eastAsia="仿宋"/>
          <w:snapToGrid w:val="0"/>
          <w:color w:val="000000"/>
          <w:sz w:val="32"/>
          <w:szCs w:val="32"/>
        </w:rPr>
      </w:pPr>
      <w:r>
        <w:rPr>
          <w:rFonts w:hint="eastAsia" w:ascii="仿宋" w:hAnsi="仿宋" w:eastAsia="仿宋" w:cs="仿宋"/>
          <w:snapToGrid w:val="0"/>
          <w:color w:val="000000"/>
          <w:sz w:val="32"/>
          <w:szCs w:val="32"/>
        </w:rPr>
        <w:t>（二）城市道路、高速公路、轨道交通、铁路；</w:t>
      </w:r>
    </w:p>
    <w:p>
      <w:pPr>
        <w:adjustRightInd w:val="0"/>
        <w:snapToGrid w:val="0"/>
        <w:spacing w:line="580" w:lineRule="exact"/>
        <w:ind w:firstLine="640" w:firstLineChars="200"/>
        <w:rPr>
          <w:rFonts w:ascii="仿宋" w:hAnsi="仿宋" w:eastAsia="仿宋"/>
          <w:snapToGrid w:val="0"/>
          <w:color w:val="000000"/>
          <w:sz w:val="32"/>
          <w:szCs w:val="32"/>
        </w:rPr>
      </w:pPr>
      <w:r>
        <w:rPr>
          <w:rFonts w:hint="eastAsia" w:ascii="仿宋" w:hAnsi="仿宋" w:eastAsia="仿宋" w:cs="仿宋"/>
          <w:snapToGrid w:val="0"/>
          <w:color w:val="000000"/>
          <w:sz w:val="32"/>
          <w:szCs w:val="32"/>
        </w:rPr>
        <w:t>（三）机场、车站、港口、码头、桥梁、隧道；</w:t>
      </w:r>
    </w:p>
    <w:p>
      <w:pPr>
        <w:adjustRightInd w:val="0"/>
        <w:snapToGrid w:val="0"/>
        <w:spacing w:line="580" w:lineRule="exact"/>
        <w:ind w:firstLine="640" w:firstLineChars="200"/>
        <w:rPr>
          <w:rFonts w:ascii="仿宋" w:hAnsi="仿宋" w:eastAsia="仿宋"/>
          <w:snapToGrid w:val="0"/>
          <w:color w:val="000000"/>
          <w:sz w:val="32"/>
          <w:szCs w:val="32"/>
        </w:rPr>
      </w:pPr>
      <w:r>
        <w:rPr>
          <w:rFonts w:hint="eastAsia" w:ascii="仿宋" w:hAnsi="仿宋" w:eastAsia="仿宋" w:cs="仿宋"/>
          <w:snapToGrid w:val="0"/>
          <w:color w:val="000000"/>
          <w:sz w:val="32"/>
          <w:szCs w:val="32"/>
        </w:rPr>
        <w:t>（四）教育、科技、文化体育、医疗卫生等场所；</w:t>
      </w:r>
    </w:p>
    <w:p>
      <w:pPr>
        <w:adjustRightInd w:val="0"/>
        <w:snapToGrid w:val="0"/>
        <w:spacing w:line="580" w:lineRule="exact"/>
        <w:ind w:firstLine="640" w:firstLineChars="200"/>
        <w:rPr>
          <w:rFonts w:ascii="仿宋" w:hAnsi="仿宋" w:eastAsia="仿宋"/>
          <w:snapToGrid w:val="0"/>
          <w:color w:val="000000"/>
          <w:sz w:val="32"/>
          <w:szCs w:val="32"/>
        </w:rPr>
      </w:pPr>
      <w:r>
        <w:rPr>
          <w:rFonts w:hint="eastAsia" w:ascii="仿宋" w:hAnsi="仿宋" w:eastAsia="仿宋" w:cs="仿宋"/>
          <w:snapToGrid w:val="0"/>
          <w:color w:val="000000"/>
          <w:sz w:val="32"/>
          <w:szCs w:val="32"/>
        </w:rPr>
        <w:t>（五）公共机构办公场所、商务楼宇、城市住宅小区；</w:t>
      </w:r>
    </w:p>
    <w:p>
      <w:pPr>
        <w:adjustRightInd w:val="0"/>
        <w:snapToGrid w:val="0"/>
        <w:spacing w:line="580" w:lineRule="exact"/>
        <w:ind w:firstLine="640" w:firstLineChars="200"/>
        <w:rPr>
          <w:rFonts w:ascii="仿宋" w:hAnsi="仿宋" w:eastAsia="仿宋"/>
          <w:snapToGrid w:val="0"/>
          <w:color w:val="000000"/>
          <w:sz w:val="32"/>
          <w:szCs w:val="32"/>
        </w:rPr>
      </w:pPr>
      <w:r>
        <w:rPr>
          <w:rFonts w:hint="eastAsia" w:ascii="仿宋" w:hAnsi="仿宋" w:eastAsia="仿宋" w:cs="仿宋"/>
          <w:snapToGrid w:val="0"/>
          <w:color w:val="000000"/>
          <w:sz w:val="32"/>
          <w:szCs w:val="32"/>
        </w:rPr>
        <w:t>（六）旅游景区、风景名胜区、公园、历史文化街区；</w:t>
      </w:r>
    </w:p>
    <w:p>
      <w:pPr>
        <w:adjustRightInd w:val="0"/>
        <w:snapToGrid w:val="0"/>
        <w:spacing w:line="580" w:lineRule="exact"/>
        <w:ind w:firstLine="640" w:firstLineChars="200"/>
        <w:rPr>
          <w:rFonts w:ascii="仿宋" w:hAnsi="仿宋" w:eastAsia="仿宋"/>
          <w:snapToGrid w:val="0"/>
          <w:color w:val="000000"/>
          <w:sz w:val="32"/>
          <w:szCs w:val="32"/>
        </w:rPr>
      </w:pPr>
      <w:r>
        <w:rPr>
          <w:rFonts w:hint="eastAsia" w:ascii="仿宋" w:hAnsi="仿宋" w:eastAsia="仿宋" w:cs="仿宋"/>
          <w:snapToGrid w:val="0"/>
          <w:color w:val="000000"/>
          <w:sz w:val="32"/>
          <w:szCs w:val="32"/>
        </w:rPr>
        <w:t>（七）法律、法规规定的其他建设项目或者场所。</w:t>
      </w:r>
    </w:p>
    <w:p>
      <w:pPr>
        <w:adjustRightInd w:val="0"/>
        <w:snapToGrid w:val="0"/>
        <w:spacing w:line="580" w:lineRule="exact"/>
        <w:ind w:firstLine="640" w:firstLineChars="200"/>
        <w:rPr>
          <w:rFonts w:ascii="仿宋" w:hAnsi="仿宋" w:eastAsia="仿宋"/>
          <w:snapToGrid w:val="0"/>
          <w:color w:val="000000"/>
          <w:sz w:val="32"/>
          <w:szCs w:val="32"/>
        </w:rPr>
      </w:pPr>
      <w:r>
        <w:rPr>
          <w:rFonts w:hint="eastAsia" w:ascii="仿宋" w:hAnsi="仿宋" w:eastAsia="仿宋" w:cs="仿宋"/>
          <w:snapToGrid w:val="0"/>
          <w:color w:val="000000"/>
          <w:sz w:val="32"/>
          <w:szCs w:val="32"/>
        </w:rPr>
        <w:t>前款规定的配套电信设施建设应当纳入建设项目设计文件，统一施工和验收；未经验收或者验收不合格的，不得接入公用电信网。配套电信设施建设所需经费纳入建设项目概算。</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黑体" w:hAnsi="黑体" w:eastAsia="黑体" w:cs="黑体"/>
          <w:snapToGrid w:val="0"/>
          <w:color w:val="000000"/>
          <w:sz w:val="32"/>
          <w:szCs w:val="32"/>
        </w:rPr>
        <w:t>第二十一条</w:t>
      </w:r>
      <w:r>
        <w:rPr>
          <w:rFonts w:ascii="仿宋" w:hAnsi="仿宋" w:eastAsia="仿宋" w:cs="仿宋"/>
          <w:snapToGrid w:val="0"/>
          <w:color w:val="000000"/>
          <w:sz w:val="32"/>
          <w:szCs w:val="32"/>
        </w:rPr>
        <w:t xml:space="preserve">  </w:t>
      </w:r>
      <w:r>
        <w:rPr>
          <w:rFonts w:hint="eastAsia" w:ascii="仿宋" w:hAnsi="仿宋" w:eastAsia="仿宋" w:cs="仿宋"/>
          <w:snapToGrid w:val="0"/>
          <w:color w:val="000000"/>
          <w:sz w:val="32"/>
          <w:szCs w:val="32"/>
        </w:rPr>
        <w:t>城市、镇规划区内新建住宅小区、商务楼宇，建设单位应当按照有关标准将配套的电信设施纳入建设项目的施工图设计文件，并与建筑工程同步建设，同步验收，电信设施建设所需经费应当纳入建设项目概算。</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仿宋" w:hAnsi="仿宋" w:eastAsia="仿宋" w:cs="仿宋"/>
          <w:snapToGrid w:val="0"/>
          <w:color w:val="000000"/>
          <w:sz w:val="32"/>
          <w:szCs w:val="32"/>
        </w:rPr>
        <w:t>配套的电信设施应当采用光纤到户的方式建设。电信设施工程的地下通信管道、配线管网、设备间等，应当与建筑工程同步建设。</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仿宋" w:hAnsi="仿宋" w:eastAsia="仿宋" w:cs="仿宋"/>
          <w:snapToGrid w:val="0"/>
          <w:color w:val="000000"/>
          <w:sz w:val="32"/>
          <w:szCs w:val="32"/>
        </w:rPr>
        <w:t>建设单位应当组织对配套的电信设施进行验收。电信设施未经验收或者验收不合格的，不得接入公用电信网。</w:t>
      </w:r>
    </w:p>
    <w:p>
      <w:pPr>
        <w:tabs>
          <w:tab w:val="left" w:pos="7380"/>
        </w:tabs>
        <w:adjustRightInd w:val="0"/>
        <w:snapToGrid w:val="0"/>
        <w:spacing w:line="580" w:lineRule="exact"/>
        <w:ind w:firstLine="640" w:firstLineChars="200"/>
        <w:rPr>
          <w:rFonts w:ascii="仿宋" w:hAnsi="仿宋" w:eastAsia="仿宋"/>
          <w:snapToGrid w:val="0"/>
          <w:color w:val="000000"/>
          <w:sz w:val="32"/>
          <w:szCs w:val="32"/>
          <w:bdr w:val="single" w:color="auto" w:sz="4" w:space="0"/>
        </w:rPr>
      </w:pPr>
      <w:r>
        <w:rPr>
          <w:rFonts w:hint="eastAsia" w:ascii="仿宋" w:hAnsi="仿宋" w:eastAsia="仿宋" w:cs="仿宋"/>
          <w:snapToGrid w:val="0"/>
          <w:color w:val="000000"/>
          <w:sz w:val="32"/>
          <w:szCs w:val="32"/>
        </w:rPr>
        <w:t>农村新建住宅区和住宅建筑配套的电信设施优先采用光纤到户的方式建设。</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黑体" w:hAnsi="黑体" w:eastAsia="黑体" w:cs="黑体"/>
          <w:snapToGrid w:val="0"/>
          <w:color w:val="000000"/>
          <w:sz w:val="32"/>
          <w:szCs w:val="32"/>
        </w:rPr>
        <w:t>第二十二条</w:t>
      </w:r>
      <w:r>
        <w:rPr>
          <w:rFonts w:ascii="仿宋" w:hAnsi="仿宋" w:eastAsia="仿宋" w:cs="仿宋"/>
          <w:snapToGrid w:val="0"/>
          <w:color w:val="000000"/>
          <w:sz w:val="32"/>
          <w:szCs w:val="32"/>
        </w:rPr>
        <w:t xml:space="preserve">  </w:t>
      </w:r>
      <w:r>
        <w:rPr>
          <w:rFonts w:hint="eastAsia" w:ascii="仿宋" w:hAnsi="仿宋" w:eastAsia="仿宋" w:cs="仿宋"/>
          <w:snapToGrid w:val="0"/>
          <w:color w:val="000000"/>
          <w:sz w:val="32"/>
          <w:szCs w:val="32"/>
        </w:rPr>
        <w:t>电信设施建设单位不得违反规划擅自建设电信设施。</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仿宋" w:hAnsi="仿宋" w:eastAsia="仿宋" w:cs="仿宋"/>
          <w:snapToGrid w:val="0"/>
          <w:color w:val="000000"/>
          <w:sz w:val="32"/>
          <w:szCs w:val="32"/>
        </w:rPr>
        <w:t>电信设施建设单位应当按照经过施工图审查备案的设计图纸组织施工，不得擅自修改设计、偷工减料，不得降低工程质量标准。在施工结束后，应当将施工过程中损坏的建筑物、小区绿地、道路等恢复原状；不能恢复原状的，应当根据损失程度给予赔偿。</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仿宋" w:hAnsi="仿宋" w:eastAsia="仿宋" w:cs="仿宋"/>
          <w:snapToGrid w:val="0"/>
          <w:color w:val="000000"/>
          <w:sz w:val="32"/>
          <w:szCs w:val="32"/>
        </w:rPr>
        <w:t>电信设施建设单位或者电信设施产权人或者管理者在电信设施建设和维护时，应当遵守相关法律、法规，规范、文明施工，不得对已建或者在建的工程、项目或者设施造成损害，避免或者减少影响公民、法人和其他组织的正常生产生活。</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黑体" w:hAnsi="黑体" w:eastAsia="黑体" w:cs="黑体"/>
          <w:snapToGrid w:val="0"/>
          <w:color w:val="000000"/>
          <w:sz w:val="32"/>
          <w:szCs w:val="32"/>
        </w:rPr>
        <w:t>第二十三条</w:t>
      </w:r>
      <w:r>
        <w:rPr>
          <w:rFonts w:ascii="仿宋" w:hAnsi="仿宋" w:eastAsia="仿宋" w:cs="仿宋"/>
          <w:snapToGrid w:val="0"/>
          <w:color w:val="000000"/>
          <w:sz w:val="32"/>
          <w:szCs w:val="32"/>
        </w:rPr>
        <w:t xml:space="preserve">  </w:t>
      </w:r>
      <w:r>
        <w:rPr>
          <w:rFonts w:hint="eastAsia" w:ascii="仿宋" w:hAnsi="仿宋" w:eastAsia="仿宋" w:cs="仿宋"/>
          <w:snapToGrid w:val="0"/>
          <w:color w:val="000000"/>
          <w:sz w:val="32"/>
          <w:szCs w:val="32"/>
        </w:rPr>
        <w:t>民用建筑物和市政公用设施的开发者、产权人或者管理者应当为电信业务经营者提供平等的电信设施接入和使用条件，不得阻碍依法进行的电信设施建设。</w:t>
      </w:r>
    </w:p>
    <w:p>
      <w:pPr>
        <w:tabs>
          <w:tab w:val="left" w:pos="7380"/>
        </w:tabs>
        <w:adjustRightInd w:val="0"/>
        <w:snapToGrid w:val="0"/>
        <w:spacing w:line="580" w:lineRule="exact"/>
        <w:ind w:firstLine="640" w:firstLineChars="200"/>
        <w:rPr>
          <w:rFonts w:ascii="仿宋" w:hAnsi="仿宋" w:eastAsia="仿宋"/>
          <w:color w:val="000000"/>
          <w:sz w:val="32"/>
          <w:szCs w:val="32"/>
        </w:rPr>
      </w:pPr>
      <w:r>
        <w:rPr>
          <w:rFonts w:hint="eastAsia" w:ascii="仿宋" w:hAnsi="仿宋" w:eastAsia="仿宋" w:cs="仿宋"/>
          <w:snapToGrid w:val="0"/>
          <w:color w:val="000000"/>
          <w:sz w:val="32"/>
          <w:szCs w:val="32"/>
        </w:rPr>
        <w:t>任何单位和个人不得限制电信用户自主选择电信业务经营者的权利</w:t>
      </w:r>
      <w:r>
        <w:rPr>
          <w:rFonts w:hint="eastAsia" w:ascii="仿宋" w:hAnsi="仿宋" w:eastAsia="仿宋" w:cs="仿宋"/>
          <w:color w:val="000000"/>
          <w:sz w:val="32"/>
          <w:szCs w:val="32"/>
        </w:rPr>
        <w:t>。</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黑体" w:hAnsi="黑体" w:eastAsia="黑体" w:cs="黑体"/>
          <w:snapToGrid w:val="0"/>
          <w:color w:val="000000"/>
          <w:sz w:val="32"/>
          <w:szCs w:val="32"/>
        </w:rPr>
        <w:t>第二十四条</w:t>
      </w:r>
      <w:r>
        <w:rPr>
          <w:rFonts w:ascii="仿宋" w:hAnsi="仿宋" w:eastAsia="仿宋" w:cs="仿宋"/>
          <w:snapToGrid w:val="0"/>
          <w:color w:val="000000"/>
          <w:sz w:val="32"/>
          <w:szCs w:val="32"/>
        </w:rPr>
        <w:t xml:space="preserve">  </w:t>
      </w:r>
      <w:r>
        <w:rPr>
          <w:rFonts w:hint="eastAsia" w:ascii="仿宋" w:hAnsi="仿宋" w:eastAsia="仿宋" w:cs="仿宋"/>
          <w:snapToGrid w:val="0"/>
          <w:color w:val="000000"/>
          <w:sz w:val="32"/>
          <w:szCs w:val="32"/>
        </w:rPr>
        <w:t>政府全额投资建设的公共场所、公共设施以及公共机构办公场所的产权人或者管理者，应当为电信设施建设和维护免费提供必要的场地和便利。</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仿宋" w:hAnsi="仿宋" w:eastAsia="仿宋" w:cs="仿宋"/>
          <w:snapToGrid w:val="0"/>
          <w:color w:val="000000"/>
          <w:sz w:val="32"/>
          <w:szCs w:val="32"/>
        </w:rPr>
        <w:t>其他公共区域的产权人或者管理者，应当为电信设施建设和维护提供场地、用电、平等接入等便利条件，相关费用由双方协商解决。</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黑体" w:hAnsi="黑体" w:eastAsia="黑体" w:cs="黑体"/>
          <w:snapToGrid w:val="0"/>
          <w:color w:val="000000"/>
          <w:sz w:val="32"/>
          <w:szCs w:val="32"/>
        </w:rPr>
        <w:t>第二十五条</w:t>
      </w:r>
      <w:r>
        <w:rPr>
          <w:rFonts w:ascii="仿宋" w:hAnsi="仿宋" w:eastAsia="仿宋" w:cs="仿宋"/>
          <w:snapToGrid w:val="0"/>
          <w:color w:val="000000"/>
          <w:sz w:val="32"/>
          <w:szCs w:val="32"/>
        </w:rPr>
        <w:t xml:space="preserve">  </w:t>
      </w:r>
      <w:r>
        <w:rPr>
          <w:rFonts w:hint="eastAsia" w:ascii="仿宋" w:hAnsi="仿宋" w:eastAsia="仿宋" w:cs="仿宋"/>
          <w:snapToGrid w:val="0"/>
          <w:color w:val="000000"/>
          <w:sz w:val="32"/>
          <w:szCs w:val="32"/>
        </w:rPr>
        <w:t>电信设施建设单位在建筑物上附挂电信线路或者设置小型天线、通信基站等公用电信设施的，应当优先设置在公共设施和公共机构所属建筑物上。需要在居住区设置的，应当优先设置在非居住建筑物上。</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仿宋" w:hAnsi="仿宋" w:eastAsia="仿宋" w:cs="仿宋"/>
          <w:snapToGrid w:val="0"/>
          <w:color w:val="000000"/>
          <w:sz w:val="32"/>
          <w:szCs w:val="32"/>
        </w:rPr>
        <w:t>电信设施建设单位确需在公共机构所属建筑物以外的民用建筑物上附挂电信线路或者设置小型天线、通信基站等公用电信设施的，应当事先通知民用建筑物产权人或者使用人，并按照国家和自治区有关规定，向该民用建筑物产权人或者其他权利人支付使用费。使用费的具体标准由自治区统一规定。</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仿宋" w:hAnsi="仿宋" w:eastAsia="仿宋" w:cs="仿宋"/>
          <w:snapToGrid w:val="0"/>
          <w:color w:val="000000"/>
          <w:sz w:val="32"/>
          <w:szCs w:val="32"/>
        </w:rPr>
        <w:t>电信设施建设单位施工时，应当符合建筑物荷载要求，保证建筑物安全、正常使用；造成人身、财产损害的，应当依法承担赔偿责任。</w:t>
      </w:r>
    </w:p>
    <w:p>
      <w:pPr>
        <w:adjustRightInd w:val="0"/>
        <w:snapToGrid w:val="0"/>
        <w:spacing w:line="580" w:lineRule="exact"/>
        <w:ind w:firstLine="640" w:firstLineChars="200"/>
        <w:rPr>
          <w:rFonts w:ascii="仿宋" w:hAnsi="仿宋" w:eastAsia="仿宋"/>
          <w:snapToGrid w:val="0"/>
          <w:color w:val="000000"/>
          <w:sz w:val="32"/>
          <w:szCs w:val="32"/>
        </w:rPr>
      </w:pPr>
      <w:r>
        <w:rPr>
          <w:rFonts w:hint="eastAsia" w:ascii="黑体" w:hAnsi="黑体" w:eastAsia="黑体" w:cs="黑体"/>
          <w:snapToGrid w:val="0"/>
          <w:color w:val="000000"/>
          <w:sz w:val="32"/>
          <w:szCs w:val="32"/>
        </w:rPr>
        <w:t>第二十六条</w:t>
      </w:r>
      <w:r>
        <w:rPr>
          <w:rFonts w:ascii="仿宋" w:hAnsi="仿宋" w:eastAsia="仿宋" w:cs="仿宋"/>
          <w:snapToGrid w:val="0"/>
          <w:color w:val="000000"/>
          <w:sz w:val="32"/>
          <w:szCs w:val="32"/>
        </w:rPr>
        <w:t xml:space="preserve">  </w:t>
      </w:r>
      <w:r>
        <w:rPr>
          <w:rFonts w:hint="eastAsia" w:ascii="仿宋" w:hAnsi="仿宋" w:eastAsia="仿宋" w:cs="仿宋"/>
          <w:snapToGrid w:val="0"/>
          <w:color w:val="000000"/>
          <w:sz w:val="32"/>
          <w:szCs w:val="32"/>
        </w:rPr>
        <w:t>供电企业应当及时为电信设施建设和运行所需电力接入提供便利。</w:t>
      </w:r>
    </w:p>
    <w:p>
      <w:pPr>
        <w:adjustRightInd w:val="0"/>
        <w:snapToGrid w:val="0"/>
        <w:spacing w:line="580" w:lineRule="exact"/>
        <w:ind w:firstLine="640" w:firstLineChars="200"/>
        <w:rPr>
          <w:rFonts w:ascii="仿宋" w:hAnsi="仿宋" w:eastAsia="仿宋"/>
          <w:snapToGrid w:val="0"/>
          <w:color w:val="000000"/>
          <w:sz w:val="32"/>
          <w:szCs w:val="32"/>
        </w:rPr>
      </w:pPr>
      <w:r>
        <w:rPr>
          <w:rFonts w:hint="eastAsia" w:ascii="黑体" w:hAnsi="黑体" w:eastAsia="黑体" w:cs="黑体"/>
          <w:snapToGrid w:val="0"/>
          <w:color w:val="000000"/>
          <w:sz w:val="32"/>
          <w:szCs w:val="32"/>
        </w:rPr>
        <w:t>第二十七条</w:t>
      </w:r>
      <w:r>
        <w:rPr>
          <w:rFonts w:ascii="仿宋" w:hAnsi="仿宋" w:eastAsia="仿宋" w:cs="仿宋"/>
          <w:snapToGrid w:val="0"/>
          <w:color w:val="000000"/>
          <w:sz w:val="32"/>
          <w:szCs w:val="32"/>
        </w:rPr>
        <w:t xml:space="preserve">  </w:t>
      </w:r>
      <w:r>
        <w:rPr>
          <w:rFonts w:hint="eastAsia" w:ascii="仿宋" w:hAnsi="仿宋" w:eastAsia="仿宋" w:cs="仿宋"/>
          <w:snapToGrid w:val="0"/>
          <w:color w:val="000000"/>
          <w:sz w:val="32"/>
          <w:szCs w:val="32"/>
        </w:rPr>
        <w:t>电信设施应当符合国家电磁环境影响安全标准。电信设施建设单位应当对电磁环境影响符合国家标准作出公开承诺，承诺履行情况纳入企业信用信息管理体系。</w:t>
      </w:r>
    </w:p>
    <w:p>
      <w:pPr>
        <w:adjustRightInd w:val="0"/>
        <w:snapToGrid w:val="0"/>
        <w:spacing w:line="580" w:lineRule="exact"/>
        <w:ind w:firstLine="640" w:firstLineChars="200"/>
        <w:rPr>
          <w:rFonts w:ascii="仿宋" w:hAnsi="仿宋" w:eastAsia="仿宋"/>
          <w:snapToGrid w:val="0"/>
          <w:color w:val="000000"/>
          <w:sz w:val="32"/>
          <w:szCs w:val="32"/>
        </w:rPr>
      </w:pPr>
      <w:r>
        <w:rPr>
          <w:rFonts w:hint="eastAsia" w:ascii="仿宋" w:hAnsi="仿宋" w:eastAsia="仿宋" w:cs="仿宋"/>
          <w:snapToGrid w:val="0"/>
          <w:color w:val="000000"/>
          <w:sz w:val="32"/>
          <w:szCs w:val="32"/>
        </w:rPr>
        <w:t>电信设施建设单位、产权人或者管理者应当委托具备资质的第三方检测机构，对半径五十米范围内有居民居住、工作或者学习的建筑物的通信基站的电磁环境影响定期进行检测，检测结果应当公开。</w:t>
      </w:r>
    </w:p>
    <w:p>
      <w:pPr>
        <w:adjustRightInd w:val="0"/>
        <w:snapToGrid w:val="0"/>
        <w:spacing w:line="580" w:lineRule="exact"/>
        <w:ind w:firstLine="640" w:firstLineChars="200"/>
        <w:rPr>
          <w:rFonts w:ascii="仿宋" w:hAnsi="仿宋" w:eastAsia="仿宋"/>
          <w:snapToGrid w:val="0"/>
          <w:color w:val="000000"/>
          <w:sz w:val="32"/>
          <w:szCs w:val="32"/>
        </w:rPr>
      </w:pPr>
      <w:r>
        <w:rPr>
          <w:rFonts w:hint="eastAsia" w:ascii="仿宋" w:hAnsi="仿宋" w:eastAsia="仿宋" w:cs="仿宋"/>
          <w:snapToGrid w:val="0"/>
          <w:color w:val="000000"/>
          <w:sz w:val="32"/>
          <w:szCs w:val="32"/>
        </w:rPr>
        <w:t>公民、法人或者其他组织对公布的检测结果有异议的，可以向环境保护主管部门投诉。</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黑体" w:hAnsi="黑体" w:eastAsia="黑体" w:cs="黑体"/>
          <w:snapToGrid w:val="0"/>
          <w:color w:val="000000"/>
          <w:sz w:val="32"/>
          <w:szCs w:val="32"/>
        </w:rPr>
        <w:t>第二十八条</w:t>
      </w:r>
      <w:r>
        <w:rPr>
          <w:rFonts w:ascii="仿宋" w:hAnsi="仿宋" w:eastAsia="仿宋" w:cs="仿宋"/>
          <w:snapToGrid w:val="0"/>
          <w:color w:val="000000"/>
          <w:sz w:val="32"/>
          <w:szCs w:val="32"/>
        </w:rPr>
        <w:t xml:space="preserve">  </w:t>
      </w:r>
      <w:r>
        <w:rPr>
          <w:rFonts w:hint="eastAsia" w:ascii="仿宋" w:hAnsi="仿宋" w:eastAsia="仿宋" w:cs="仿宋"/>
          <w:snapToGrid w:val="0"/>
          <w:color w:val="000000"/>
          <w:sz w:val="32"/>
          <w:szCs w:val="32"/>
        </w:rPr>
        <w:t>县级以上人民政府环境保护主管部门应当履行电磁环境影响监管职责，宣传普及电磁环境影响科学知识，对电磁环境影响不符合国家控制标准的通信基站依法予以处理。</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p>
    <w:p>
      <w:pPr>
        <w:tabs>
          <w:tab w:val="left" w:pos="7380"/>
        </w:tabs>
        <w:adjustRightInd w:val="0"/>
        <w:snapToGrid w:val="0"/>
        <w:spacing w:line="580" w:lineRule="exact"/>
        <w:ind w:firstLine="640" w:firstLineChars="200"/>
        <w:jc w:val="center"/>
        <w:rPr>
          <w:rFonts w:ascii="黑体" w:hAnsi="黑体" w:eastAsia="黑体"/>
          <w:snapToGrid w:val="0"/>
          <w:color w:val="000000"/>
          <w:sz w:val="32"/>
          <w:szCs w:val="32"/>
        </w:rPr>
      </w:pPr>
      <w:r>
        <w:rPr>
          <w:rFonts w:hint="eastAsia" w:ascii="黑体" w:hAnsi="黑体" w:eastAsia="黑体" w:cs="黑体"/>
          <w:snapToGrid w:val="0"/>
          <w:color w:val="000000"/>
          <w:sz w:val="32"/>
          <w:szCs w:val="32"/>
        </w:rPr>
        <w:t>第三章</w:t>
      </w:r>
      <w:r>
        <w:rPr>
          <w:rFonts w:ascii="黑体" w:hAnsi="黑体" w:eastAsia="黑体" w:cs="黑体"/>
          <w:snapToGrid w:val="0"/>
          <w:color w:val="000000"/>
          <w:sz w:val="32"/>
          <w:szCs w:val="32"/>
        </w:rPr>
        <w:t xml:space="preserve">  </w:t>
      </w:r>
      <w:r>
        <w:rPr>
          <w:rFonts w:hint="eastAsia" w:ascii="黑体" w:hAnsi="黑体" w:eastAsia="黑体" w:cs="黑体"/>
          <w:snapToGrid w:val="0"/>
          <w:color w:val="000000"/>
          <w:sz w:val="32"/>
          <w:szCs w:val="32"/>
        </w:rPr>
        <w:t>电信设施保护</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黑体" w:hAnsi="黑体" w:eastAsia="黑体" w:cs="黑体"/>
          <w:snapToGrid w:val="0"/>
          <w:color w:val="000000"/>
          <w:sz w:val="32"/>
          <w:szCs w:val="32"/>
        </w:rPr>
        <w:t>第二十九条</w:t>
      </w:r>
      <w:r>
        <w:rPr>
          <w:rFonts w:ascii="仿宋" w:hAnsi="仿宋" w:eastAsia="仿宋" w:cs="仿宋"/>
          <w:snapToGrid w:val="0"/>
          <w:color w:val="000000"/>
          <w:sz w:val="32"/>
          <w:szCs w:val="32"/>
        </w:rPr>
        <w:t xml:space="preserve">  </w:t>
      </w:r>
      <w:r>
        <w:rPr>
          <w:rFonts w:hint="eastAsia" w:ascii="仿宋" w:hAnsi="仿宋" w:eastAsia="仿宋" w:cs="仿宋"/>
          <w:snapToGrid w:val="0"/>
          <w:color w:val="000000"/>
          <w:sz w:val="32"/>
          <w:szCs w:val="32"/>
        </w:rPr>
        <w:t>电信设施产权人或者管理者应当履行下列职责：</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仿宋" w:hAnsi="仿宋" w:eastAsia="仿宋" w:cs="仿宋"/>
          <w:snapToGrid w:val="0"/>
          <w:color w:val="000000"/>
          <w:sz w:val="32"/>
          <w:szCs w:val="32"/>
        </w:rPr>
        <w:t>（一）定期检修和维护电信设施，落实安全保护责任，完善应急措施，为开展电信设施保护工作提供必要保障；</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仿宋" w:hAnsi="仿宋" w:eastAsia="仿宋" w:cs="仿宋"/>
          <w:snapToGrid w:val="0"/>
          <w:color w:val="000000"/>
          <w:sz w:val="32"/>
          <w:szCs w:val="32"/>
        </w:rPr>
        <w:t>（二）根据保护电信设施的需要，在电信设施上或者周围设置标志，标明电信设施产权人或者管理者和联系方式等信息；</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仿宋" w:hAnsi="仿宋" w:eastAsia="仿宋" w:cs="仿宋"/>
          <w:snapToGrid w:val="0"/>
          <w:color w:val="000000"/>
          <w:sz w:val="32"/>
          <w:szCs w:val="32"/>
        </w:rPr>
        <w:t>（三）根据保护公众人身和财产安全的需要，在电信设施上或者周围设置警示标志、围墙、栅栏等安全防护设施；</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仿宋" w:hAnsi="仿宋" w:eastAsia="仿宋" w:cs="仿宋"/>
          <w:snapToGrid w:val="0"/>
          <w:color w:val="000000"/>
          <w:sz w:val="32"/>
          <w:szCs w:val="32"/>
        </w:rPr>
        <w:t>（四）及时拆除不需要继续保留的通信基站等电信设施；</w:t>
      </w:r>
    </w:p>
    <w:p>
      <w:pPr>
        <w:tabs>
          <w:tab w:val="left" w:pos="7380"/>
        </w:tabs>
        <w:adjustRightInd w:val="0"/>
        <w:snapToGrid w:val="0"/>
        <w:spacing w:line="580" w:lineRule="exact"/>
        <w:ind w:firstLine="640" w:firstLineChars="200"/>
        <w:rPr>
          <w:rFonts w:ascii="仿宋" w:hAnsi="仿宋" w:eastAsia="仿宋"/>
          <w:snapToGrid w:val="0"/>
          <w:color w:val="000000"/>
          <w:sz w:val="32"/>
          <w:szCs w:val="32"/>
          <w:bdr w:val="single" w:color="auto" w:sz="4" w:space="0"/>
        </w:rPr>
      </w:pPr>
      <w:r>
        <w:rPr>
          <w:rFonts w:hint="eastAsia" w:ascii="仿宋" w:hAnsi="仿宋" w:eastAsia="仿宋" w:cs="仿宋"/>
          <w:snapToGrid w:val="0"/>
          <w:color w:val="000000"/>
          <w:sz w:val="32"/>
          <w:szCs w:val="32"/>
        </w:rPr>
        <w:t>（五）法律、法规规定的其他职责。</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仿宋" w:hAnsi="仿宋" w:eastAsia="仿宋" w:cs="仿宋"/>
          <w:snapToGrid w:val="0"/>
          <w:color w:val="000000"/>
          <w:sz w:val="32"/>
          <w:szCs w:val="32"/>
        </w:rPr>
        <w:t>鼓励对共建共享的电信设施实行集中管理、统一维护，确保电信设施有效使用、安全运行。</w:t>
      </w:r>
    </w:p>
    <w:p>
      <w:pPr>
        <w:tabs>
          <w:tab w:val="left" w:pos="7380"/>
        </w:tabs>
        <w:adjustRightInd w:val="0"/>
        <w:snapToGrid w:val="0"/>
        <w:spacing w:line="580" w:lineRule="exact"/>
        <w:ind w:firstLine="640" w:firstLineChars="200"/>
        <w:rPr>
          <w:rFonts w:ascii="仿宋" w:hAnsi="仿宋" w:eastAsia="仿宋" w:cs="仿宋"/>
          <w:snapToGrid w:val="0"/>
          <w:color w:val="000000"/>
          <w:sz w:val="32"/>
          <w:szCs w:val="32"/>
        </w:rPr>
      </w:pPr>
      <w:r>
        <w:rPr>
          <w:rFonts w:hint="eastAsia" w:ascii="黑体" w:hAnsi="黑体" w:eastAsia="黑体" w:cs="黑体"/>
          <w:snapToGrid w:val="0"/>
          <w:color w:val="000000"/>
          <w:sz w:val="32"/>
          <w:szCs w:val="32"/>
        </w:rPr>
        <w:t>第三十条</w:t>
      </w:r>
      <w:r>
        <w:rPr>
          <w:rFonts w:ascii="仿宋" w:hAnsi="仿宋" w:eastAsia="仿宋" w:cs="仿宋"/>
          <w:snapToGrid w:val="0"/>
          <w:color w:val="000000"/>
          <w:sz w:val="32"/>
          <w:szCs w:val="32"/>
        </w:rPr>
        <w:t xml:space="preserve">  </w:t>
      </w:r>
      <w:r>
        <w:rPr>
          <w:rFonts w:hint="eastAsia" w:ascii="仿宋" w:hAnsi="仿宋" w:eastAsia="仿宋" w:cs="仿宋"/>
          <w:snapToGrid w:val="0"/>
          <w:color w:val="000000"/>
          <w:sz w:val="32"/>
          <w:szCs w:val="32"/>
        </w:rPr>
        <w:t>电信设施应当按照下列规定设置安全保护范围：</w:t>
      </w:r>
      <w:r>
        <w:rPr>
          <w:rFonts w:ascii="仿宋" w:hAnsi="仿宋" w:eastAsia="仿宋" w:cs="仿宋"/>
          <w:snapToGrid w:val="0"/>
          <w:color w:val="000000"/>
          <w:sz w:val="32"/>
          <w:szCs w:val="32"/>
        </w:rPr>
        <w:t xml:space="preserve"> </w:t>
      </w:r>
    </w:p>
    <w:p>
      <w:pPr>
        <w:tabs>
          <w:tab w:val="left" w:pos="7380"/>
        </w:tabs>
        <w:adjustRightInd w:val="0"/>
        <w:snapToGrid w:val="0"/>
        <w:spacing w:line="580" w:lineRule="exact"/>
        <w:ind w:firstLine="640" w:firstLineChars="200"/>
        <w:rPr>
          <w:rFonts w:ascii="仿宋" w:hAnsi="仿宋" w:eastAsia="仿宋" w:cs="仿宋"/>
          <w:snapToGrid w:val="0"/>
          <w:color w:val="000000"/>
          <w:sz w:val="32"/>
          <w:szCs w:val="32"/>
        </w:rPr>
      </w:pPr>
      <w:r>
        <w:rPr>
          <w:rFonts w:hint="eastAsia" w:ascii="仿宋" w:hAnsi="仿宋" w:eastAsia="仿宋" w:cs="仿宋"/>
          <w:snapToGrid w:val="0"/>
          <w:color w:val="000000"/>
          <w:sz w:val="32"/>
          <w:szCs w:val="32"/>
        </w:rPr>
        <w:t>（一）架空设施保护距离：市区内、外架空通信线路（含附属拉线）分别向两侧水平延伸七十五厘米、二米并垂直于地面所形成的两平行面内的区域；</w:t>
      </w:r>
      <w:r>
        <w:rPr>
          <w:rFonts w:ascii="仿宋" w:hAnsi="仿宋" w:eastAsia="仿宋" w:cs="仿宋"/>
          <w:snapToGrid w:val="0"/>
          <w:color w:val="000000"/>
          <w:sz w:val="32"/>
          <w:szCs w:val="32"/>
        </w:rPr>
        <w:t xml:space="preserve"> </w:t>
      </w:r>
    </w:p>
    <w:p>
      <w:pPr>
        <w:tabs>
          <w:tab w:val="left" w:pos="7380"/>
        </w:tabs>
        <w:adjustRightInd w:val="0"/>
        <w:snapToGrid w:val="0"/>
        <w:spacing w:line="580" w:lineRule="exact"/>
        <w:ind w:firstLine="640" w:firstLineChars="200"/>
        <w:rPr>
          <w:rFonts w:ascii="仿宋" w:hAnsi="仿宋" w:eastAsia="仿宋"/>
          <w:snapToGrid w:val="0"/>
          <w:color w:val="000000"/>
          <w:spacing w:val="-4"/>
          <w:sz w:val="32"/>
          <w:szCs w:val="32"/>
        </w:rPr>
      </w:pPr>
      <w:r>
        <w:rPr>
          <w:rFonts w:hint="eastAsia" w:ascii="仿宋" w:hAnsi="仿宋" w:eastAsia="仿宋" w:cs="仿宋"/>
          <w:snapToGrid w:val="0"/>
          <w:color w:val="000000"/>
          <w:sz w:val="32"/>
          <w:szCs w:val="32"/>
        </w:rPr>
        <w:t>（二）埋设设施保护距离：地下电信线路两侧各三米，水底</w:t>
      </w:r>
      <w:r>
        <w:rPr>
          <w:rFonts w:hint="eastAsia" w:ascii="仿宋" w:hAnsi="仿宋" w:eastAsia="仿宋" w:cs="仿宋"/>
          <w:snapToGrid w:val="0"/>
          <w:color w:val="000000"/>
          <w:spacing w:val="-4"/>
          <w:sz w:val="32"/>
          <w:szCs w:val="32"/>
        </w:rPr>
        <w:t>电信线路两侧各五十米，内河港区内为水底电信线路两侧各一百米；</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仿宋" w:hAnsi="仿宋" w:eastAsia="仿宋" w:cs="仿宋"/>
          <w:snapToGrid w:val="0"/>
          <w:color w:val="000000"/>
          <w:sz w:val="32"/>
          <w:szCs w:val="32"/>
        </w:rPr>
        <w:t>（三）海底电信线路保护距离：沿海宽阔海域为海底通信线路两侧各五百米，海湾等狭窄海域为海底电缆管道两侧各一百米，海港区内以及海缆登陆点岸线为海底通信线路两侧各五十米；</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仿宋" w:hAnsi="仿宋" w:eastAsia="仿宋" w:cs="仿宋"/>
          <w:snapToGrid w:val="0"/>
          <w:color w:val="000000"/>
          <w:sz w:val="32"/>
          <w:szCs w:val="32"/>
        </w:rPr>
        <w:t>（四）室外电信设备以及配套设施向四至水平延伸一米；</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仿宋" w:hAnsi="仿宋" w:eastAsia="仿宋" w:cs="仿宋"/>
          <w:snapToGrid w:val="0"/>
          <w:color w:val="000000"/>
          <w:sz w:val="32"/>
          <w:szCs w:val="32"/>
        </w:rPr>
        <w:t>（五）野外通信基站、机房、杆（塔）向四至水平延伸三米。</w:t>
      </w:r>
    </w:p>
    <w:p>
      <w:pPr>
        <w:tabs>
          <w:tab w:val="left" w:pos="7380"/>
        </w:tabs>
        <w:adjustRightInd w:val="0"/>
        <w:snapToGrid w:val="0"/>
        <w:spacing w:line="580" w:lineRule="exact"/>
        <w:ind w:firstLine="640" w:firstLineChars="200"/>
        <w:rPr>
          <w:rFonts w:ascii="仿宋" w:hAnsi="仿宋" w:eastAsia="仿宋" w:cs="仿宋"/>
          <w:snapToGrid w:val="0"/>
          <w:color w:val="000000"/>
          <w:sz w:val="32"/>
          <w:szCs w:val="32"/>
        </w:rPr>
      </w:pPr>
      <w:r>
        <w:rPr>
          <w:rFonts w:hint="eastAsia" w:ascii="黑体" w:hAnsi="黑体" w:eastAsia="黑体" w:cs="黑体"/>
          <w:snapToGrid w:val="0"/>
          <w:color w:val="000000"/>
          <w:sz w:val="32"/>
          <w:szCs w:val="32"/>
        </w:rPr>
        <w:t>第三十一条</w:t>
      </w:r>
      <w:r>
        <w:rPr>
          <w:rFonts w:ascii="仿宋" w:hAnsi="仿宋" w:eastAsia="仿宋" w:cs="仿宋"/>
          <w:snapToGrid w:val="0"/>
          <w:color w:val="000000"/>
          <w:sz w:val="32"/>
          <w:szCs w:val="32"/>
        </w:rPr>
        <w:t xml:space="preserve">  </w:t>
      </w:r>
      <w:r>
        <w:rPr>
          <w:rFonts w:hint="eastAsia" w:ascii="仿宋" w:hAnsi="仿宋" w:eastAsia="仿宋" w:cs="仿宋"/>
          <w:snapToGrid w:val="0"/>
          <w:color w:val="000000"/>
          <w:sz w:val="32"/>
          <w:szCs w:val="32"/>
        </w:rPr>
        <w:t>禁止实施下列危及电信设施安全的行为：</w:t>
      </w:r>
      <w:r>
        <w:rPr>
          <w:rFonts w:ascii="仿宋" w:hAnsi="仿宋" w:eastAsia="仿宋" w:cs="仿宋"/>
          <w:snapToGrid w:val="0"/>
          <w:color w:val="000000"/>
          <w:sz w:val="32"/>
          <w:szCs w:val="32"/>
        </w:rPr>
        <w:t xml:space="preserve"> </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仿宋" w:hAnsi="仿宋" w:eastAsia="仿宋" w:cs="仿宋"/>
          <w:snapToGrid w:val="0"/>
          <w:color w:val="000000"/>
          <w:sz w:val="32"/>
          <w:szCs w:val="32"/>
        </w:rPr>
        <w:t>（一）在电信设施安全保护范围内挖沙、取土、挖沟、掘井、钻井、堆放垃圾，设置化粪池、牲畜圈、沼气池，倾倒含酸、碱、盐等腐蚀性的废液、废渣等；</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仿宋" w:hAnsi="仿宋" w:eastAsia="仿宋" w:cs="仿宋"/>
          <w:snapToGrid w:val="0"/>
          <w:color w:val="000000"/>
          <w:sz w:val="32"/>
          <w:szCs w:val="32"/>
        </w:rPr>
        <w:t>（二）在电信设施安全保护范围内烧荒、烧窑、堆放或者停放易燃易爆物品；</w:t>
      </w:r>
    </w:p>
    <w:p>
      <w:pPr>
        <w:tabs>
          <w:tab w:val="left" w:pos="7380"/>
        </w:tabs>
        <w:adjustRightInd w:val="0"/>
        <w:snapToGrid w:val="0"/>
        <w:spacing w:line="580" w:lineRule="exact"/>
        <w:ind w:firstLine="640" w:firstLineChars="200"/>
        <w:rPr>
          <w:rFonts w:ascii="仿宋" w:hAnsi="仿宋" w:eastAsia="仿宋" w:cs="仿宋"/>
          <w:snapToGrid w:val="0"/>
          <w:color w:val="000000"/>
          <w:sz w:val="32"/>
          <w:szCs w:val="32"/>
        </w:rPr>
      </w:pPr>
      <w:r>
        <w:rPr>
          <w:rFonts w:hint="eastAsia" w:ascii="仿宋" w:hAnsi="仿宋" w:eastAsia="仿宋" w:cs="仿宋"/>
          <w:snapToGrid w:val="0"/>
          <w:color w:val="000000"/>
          <w:sz w:val="32"/>
          <w:szCs w:val="32"/>
        </w:rPr>
        <w:t>（三）在设有水底、海底电缆标识的安全保护范围内抛锚、拖网、挖沙、</w:t>
      </w:r>
      <w:r>
        <w:rPr>
          <w:rFonts w:hint="eastAsia" w:ascii="仿宋" w:hAnsi="仿宋" w:eastAsia="仿宋" w:cs="仿宋"/>
          <w:color w:val="000000"/>
          <w:sz w:val="32"/>
          <w:szCs w:val="32"/>
        </w:rPr>
        <w:t>钻探</w:t>
      </w:r>
      <w:r>
        <w:rPr>
          <w:rFonts w:hint="eastAsia" w:ascii="仿宋" w:hAnsi="仿宋" w:eastAsia="仿宋" w:cs="仿宋"/>
          <w:snapToGrid w:val="0"/>
          <w:color w:val="000000"/>
          <w:sz w:val="32"/>
          <w:szCs w:val="32"/>
        </w:rPr>
        <w:t>以及从事其他危及水底、海底电缆安全的作业；</w:t>
      </w:r>
      <w:r>
        <w:rPr>
          <w:rFonts w:ascii="仿宋" w:hAnsi="仿宋" w:eastAsia="仿宋" w:cs="仿宋"/>
          <w:snapToGrid w:val="0"/>
          <w:color w:val="000000"/>
          <w:sz w:val="32"/>
          <w:szCs w:val="32"/>
        </w:rPr>
        <w:t xml:space="preserve">    </w:t>
      </w:r>
    </w:p>
    <w:p>
      <w:pPr>
        <w:tabs>
          <w:tab w:val="left" w:pos="7380"/>
        </w:tabs>
        <w:adjustRightInd w:val="0"/>
        <w:snapToGrid w:val="0"/>
        <w:spacing w:line="580" w:lineRule="exact"/>
        <w:ind w:firstLine="640" w:firstLineChars="200"/>
        <w:rPr>
          <w:rFonts w:ascii="仿宋" w:hAnsi="仿宋" w:eastAsia="仿宋" w:cs="仿宋"/>
          <w:snapToGrid w:val="0"/>
          <w:color w:val="000000"/>
          <w:sz w:val="32"/>
          <w:szCs w:val="32"/>
        </w:rPr>
      </w:pPr>
      <w:r>
        <w:rPr>
          <w:rFonts w:hint="eastAsia" w:ascii="仿宋" w:hAnsi="仿宋" w:eastAsia="仿宋" w:cs="仿宋"/>
          <w:snapToGrid w:val="0"/>
          <w:color w:val="000000"/>
          <w:sz w:val="32"/>
          <w:szCs w:val="32"/>
        </w:rPr>
        <w:t>（四）擅自挪动、涂改、拆除和损坏在电信设施安全保护范围内依法设置的标识或者警示标志；</w:t>
      </w:r>
      <w:r>
        <w:rPr>
          <w:rFonts w:ascii="仿宋" w:hAnsi="仿宋" w:eastAsia="仿宋" w:cs="仿宋"/>
          <w:snapToGrid w:val="0"/>
          <w:color w:val="000000"/>
          <w:sz w:val="32"/>
          <w:szCs w:val="32"/>
        </w:rPr>
        <w:t xml:space="preserve"> </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仿宋" w:hAnsi="仿宋" w:eastAsia="仿宋" w:cs="仿宋"/>
          <w:snapToGrid w:val="0"/>
          <w:color w:val="000000"/>
          <w:sz w:val="32"/>
          <w:szCs w:val="32"/>
        </w:rPr>
        <w:t>（五）擅自改动或者迁移他人的通信线路以及其他电信设施；</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仿宋" w:hAnsi="仿宋" w:eastAsia="仿宋" w:cs="仿宋"/>
          <w:snapToGrid w:val="0"/>
          <w:color w:val="000000"/>
          <w:sz w:val="32"/>
          <w:szCs w:val="32"/>
        </w:rPr>
        <w:t>（六）擅自接入电信设施取电；</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仿宋" w:hAnsi="仿宋" w:eastAsia="仿宋" w:cs="仿宋"/>
          <w:snapToGrid w:val="0"/>
          <w:color w:val="000000"/>
          <w:sz w:val="32"/>
          <w:szCs w:val="32"/>
        </w:rPr>
        <w:t>（七）在电信设施上附挂物体、攀附农作物、拴系牲畜或者其他物品，向电信设施抛掷物体，攀爬杆（塔）；</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仿宋" w:hAnsi="仿宋" w:eastAsia="仿宋" w:cs="仿宋"/>
          <w:snapToGrid w:val="0"/>
          <w:color w:val="000000"/>
          <w:sz w:val="32"/>
          <w:szCs w:val="32"/>
        </w:rPr>
        <w:t>（八）侵占、哄抢、盗窃、损毁电信设施；</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仿宋" w:hAnsi="仿宋" w:eastAsia="仿宋" w:cs="仿宋"/>
          <w:snapToGrid w:val="0"/>
          <w:color w:val="000000"/>
          <w:sz w:val="32"/>
          <w:szCs w:val="32"/>
        </w:rPr>
        <w:t>（九）法律、法规规定的其他危及电信设施安全的行为。</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黑体" w:hAnsi="黑体" w:eastAsia="黑体" w:cs="黑体"/>
          <w:snapToGrid w:val="0"/>
          <w:color w:val="000000"/>
          <w:sz w:val="32"/>
          <w:szCs w:val="32"/>
        </w:rPr>
        <w:t>第三十二条</w:t>
      </w:r>
      <w:r>
        <w:rPr>
          <w:rFonts w:ascii="仿宋" w:hAnsi="仿宋" w:eastAsia="仿宋" w:cs="仿宋"/>
          <w:snapToGrid w:val="0"/>
          <w:color w:val="000000"/>
          <w:sz w:val="32"/>
          <w:szCs w:val="32"/>
        </w:rPr>
        <w:t xml:space="preserve">  </w:t>
      </w:r>
      <w:r>
        <w:rPr>
          <w:rFonts w:hint="eastAsia" w:ascii="仿宋" w:hAnsi="仿宋" w:eastAsia="仿宋" w:cs="仿宋"/>
          <w:snapToGrid w:val="0"/>
          <w:color w:val="000000"/>
          <w:sz w:val="32"/>
          <w:szCs w:val="32"/>
        </w:rPr>
        <w:t>任何单位或者个人从事下列可能危及电信设施安全或者妨碍线路畅通的作业，应当在作业三日前通知电信设施的产权人或者管理者，并按照其要求采取必要的安全防护措施：</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仿宋" w:hAnsi="仿宋" w:eastAsia="仿宋" w:cs="仿宋"/>
          <w:snapToGrid w:val="0"/>
          <w:color w:val="000000"/>
          <w:sz w:val="32"/>
          <w:szCs w:val="32"/>
        </w:rPr>
        <w:t>（一）建造建筑物、构筑物；</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仿宋" w:hAnsi="仿宋" w:eastAsia="仿宋" w:cs="仿宋"/>
          <w:snapToGrid w:val="0"/>
          <w:color w:val="000000"/>
          <w:sz w:val="32"/>
          <w:szCs w:val="32"/>
        </w:rPr>
        <w:t>（二）新建、改建或者扩建公路、铁路、城市道路、桥梁、隧道、城市轨道交通、水利工程等；</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仿宋" w:hAnsi="仿宋" w:eastAsia="仿宋" w:cs="仿宋"/>
          <w:snapToGrid w:val="0"/>
          <w:color w:val="000000"/>
          <w:sz w:val="32"/>
          <w:szCs w:val="32"/>
        </w:rPr>
        <w:t>（三）铺设电力线路、广播电视传输线路、电信线路、燃气管道、自来水管道、下水道以及设置干扰性设备；</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仿宋" w:hAnsi="仿宋" w:eastAsia="仿宋" w:cs="仿宋"/>
          <w:snapToGrid w:val="0"/>
          <w:color w:val="000000"/>
          <w:sz w:val="32"/>
          <w:szCs w:val="32"/>
        </w:rPr>
        <w:t>（四）实施爆破、采矿、钻探活动；</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仿宋" w:hAnsi="仿宋" w:eastAsia="仿宋" w:cs="仿宋"/>
          <w:snapToGrid w:val="0"/>
          <w:color w:val="000000"/>
          <w:sz w:val="32"/>
          <w:szCs w:val="32"/>
        </w:rPr>
        <w:t>（五）建设涉及易燃易爆物品、排放腐蚀性物体的场所；</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仿宋" w:hAnsi="仿宋" w:eastAsia="仿宋" w:cs="仿宋"/>
          <w:snapToGrid w:val="0"/>
          <w:color w:val="000000"/>
          <w:sz w:val="32"/>
          <w:szCs w:val="32"/>
        </w:rPr>
        <w:t>（六）其他可能危及电信设施安全或者妨碍线路畅通的行为。</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仿宋" w:hAnsi="仿宋" w:eastAsia="仿宋" w:cs="仿宋"/>
          <w:snapToGrid w:val="0"/>
          <w:color w:val="000000"/>
          <w:sz w:val="32"/>
          <w:szCs w:val="32"/>
        </w:rPr>
        <w:t>造成损害的，应当赔偿相应的经济损失。</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黑体" w:hAnsi="黑体" w:eastAsia="黑体" w:cs="黑体"/>
          <w:snapToGrid w:val="0"/>
          <w:color w:val="000000"/>
          <w:sz w:val="32"/>
          <w:szCs w:val="32"/>
        </w:rPr>
        <w:t>第三十三条</w:t>
      </w:r>
      <w:r>
        <w:rPr>
          <w:rFonts w:ascii="仿宋" w:hAnsi="仿宋" w:eastAsia="仿宋" w:cs="仿宋"/>
          <w:snapToGrid w:val="0"/>
          <w:color w:val="000000"/>
          <w:sz w:val="32"/>
          <w:szCs w:val="32"/>
        </w:rPr>
        <w:t xml:space="preserve">  </w:t>
      </w:r>
      <w:r>
        <w:rPr>
          <w:rFonts w:hint="eastAsia" w:ascii="仿宋" w:hAnsi="仿宋" w:eastAsia="仿宋" w:cs="仿宋"/>
          <w:snapToGrid w:val="0"/>
          <w:color w:val="000000"/>
          <w:sz w:val="32"/>
          <w:szCs w:val="32"/>
        </w:rPr>
        <w:t>种植的树木应当与电信设施保持国家和自治区规定的安全距离；没有达到安全距离的，为保证电信管线的安全使用需要修剪树木时，按照兼顾电信管线安全使用和树木正常生长的原则进行修剪。</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仿宋" w:hAnsi="仿宋" w:eastAsia="仿宋" w:cs="仿宋"/>
          <w:snapToGrid w:val="0"/>
          <w:color w:val="000000"/>
          <w:sz w:val="32"/>
          <w:szCs w:val="32"/>
        </w:rPr>
        <w:t>新建电信设施需要修剪树木的，电信业务经营者应当与树木所有权人或者管理者协商；需要砍伐树木的，应当依法办理采伐许可手续，并按照相关标准给予补偿。</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仿宋" w:hAnsi="仿宋" w:eastAsia="仿宋" w:cs="仿宋"/>
          <w:snapToGrid w:val="0"/>
          <w:color w:val="000000"/>
          <w:sz w:val="32"/>
          <w:szCs w:val="32"/>
        </w:rPr>
        <w:t>因不可抗力致使树木倾斜危及电信管线安全的，电信设施的产权人或者管理者可以先行修剪、扶正或者砍伐树木，并及时报告有关行政主管部门。</w:t>
      </w:r>
    </w:p>
    <w:p>
      <w:pPr>
        <w:tabs>
          <w:tab w:val="left" w:pos="420"/>
          <w:tab w:val="left" w:pos="63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黑体" w:hAnsi="黑体" w:eastAsia="黑体" w:cs="黑体"/>
          <w:snapToGrid w:val="0"/>
          <w:color w:val="000000"/>
          <w:sz w:val="32"/>
          <w:szCs w:val="32"/>
        </w:rPr>
        <w:t>第三十四条</w:t>
      </w:r>
      <w:r>
        <w:rPr>
          <w:rFonts w:ascii="仿宋" w:hAnsi="仿宋" w:eastAsia="仿宋" w:cs="仿宋"/>
          <w:snapToGrid w:val="0"/>
          <w:color w:val="000000"/>
          <w:sz w:val="32"/>
          <w:szCs w:val="32"/>
        </w:rPr>
        <w:t xml:space="preserve">  </w:t>
      </w:r>
      <w:r>
        <w:rPr>
          <w:rFonts w:hint="eastAsia" w:ascii="仿宋" w:hAnsi="仿宋" w:eastAsia="仿宋" w:cs="仿宋"/>
          <w:snapToGrid w:val="0"/>
          <w:color w:val="000000"/>
          <w:sz w:val="32"/>
          <w:szCs w:val="32"/>
        </w:rPr>
        <w:t>任何单位和个人不得阻挠、妨碍电信设施的产权人或者管理者进入放置电信设施的场所进行正常维护作业。因阻挠、妨碍行为造成电信设施损毁、通信中断的，应当依法承担赔偿责任。</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黑体" w:hAnsi="黑体" w:eastAsia="黑体" w:cs="黑体"/>
          <w:snapToGrid w:val="0"/>
          <w:color w:val="000000"/>
          <w:sz w:val="32"/>
          <w:szCs w:val="32"/>
        </w:rPr>
        <w:t>第三十五条</w:t>
      </w:r>
      <w:r>
        <w:rPr>
          <w:rFonts w:ascii="仿宋" w:hAnsi="仿宋" w:eastAsia="仿宋" w:cs="仿宋"/>
          <w:snapToGrid w:val="0"/>
          <w:color w:val="000000"/>
          <w:sz w:val="32"/>
          <w:szCs w:val="32"/>
        </w:rPr>
        <w:t xml:space="preserve">  </w:t>
      </w:r>
      <w:r>
        <w:rPr>
          <w:rFonts w:hint="eastAsia" w:ascii="仿宋" w:hAnsi="仿宋" w:eastAsia="仿宋" w:cs="仿宋"/>
          <w:snapToGrid w:val="0"/>
          <w:color w:val="000000"/>
          <w:sz w:val="32"/>
          <w:szCs w:val="32"/>
        </w:rPr>
        <w:t>任何单位或者个人不得擅自改动或者迁移他人的电信线路及其他电信设施；遇有特殊情况必须改动或者迁移的，应当征得该电信设施产权人同意，签订书面搬迁补偿协议。</w:t>
      </w:r>
    </w:p>
    <w:p>
      <w:pPr>
        <w:pStyle w:val="4"/>
        <w:widowControl w:val="0"/>
        <w:adjustRightInd w:val="0"/>
        <w:snapToGrid w:val="0"/>
        <w:spacing w:before="0" w:beforeAutospacing="0" w:after="0" w:afterAutospacing="0" w:line="580" w:lineRule="exact"/>
        <w:ind w:firstLine="640" w:firstLineChars="200"/>
        <w:jc w:val="both"/>
        <w:rPr>
          <w:rFonts w:ascii="仿宋" w:hAnsi="仿宋" w:eastAsia="仿宋" w:cs="Times New Roman"/>
          <w:snapToGrid w:val="0"/>
          <w:color w:val="000000"/>
          <w:kern w:val="2"/>
          <w:sz w:val="32"/>
          <w:szCs w:val="32"/>
        </w:rPr>
      </w:pPr>
      <w:r>
        <w:rPr>
          <w:rFonts w:hint="eastAsia" w:ascii="黑体" w:hAnsi="黑体" w:eastAsia="黑体" w:cs="黑体"/>
          <w:snapToGrid w:val="0"/>
          <w:color w:val="000000"/>
          <w:kern w:val="2"/>
          <w:sz w:val="32"/>
          <w:szCs w:val="32"/>
        </w:rPr>
        <w:t>第三十六条</w:t>
      </w:r>
      <w:r>
        <w:rPr>
          <w:rFonts w:ascii="仿宋" w:hAnsi="仿宋" w:eastAsia="仿宋" w:cs="仿宋"/>
          <w:snapToGrid w:val="0"/>
          <w:color w:val="000000"/>
          <w:kern w:val="2"/>
          <w:sz w:val="32"/>
          <w:szCs w:val="32"/>
        </w:rPr>
        <w:t xml:space="preserve">  </w:t>
      </w:r>
      <w:r>
        <w:rPr>
          <w:rFonts w:hint="eastAsia" w:ascii="仿宋" w:hAnsi="仿宋" w:eastAsia="仿宋" w:cs="仿宋"/>
          <w:snapToGrid w:val="0"/>
          <w:color w:val="000000"/>
          <w:kern w:val="2"/>
          <w:sz w:val="32"/>
          <w:szCs w:val="32"/>
        </w:rPr>
        <w:t>电信管线与其他地下管线设施进行平行、交叉建设时，应当符合城市地下管线设施建设的有关要求，采取适当措施，确保已建设施的安全，并承担相关费用。</w:t>
      </w:r>
    </w:p>
    <w:p>
      <w:pPr>
        <w:pStyle w:val="4"/>
        <w:widowControl w:val="0"/>
        <w:adjustRightInd w:val="0"/>
        <w:snapToGrid w:val="0"/>
        <w:spacing w:before="0" w:beforeAutospacing="0" w:after="0" w:afterAutospacing="0" w:line="580" w:lineRule="exact"/>
        <w:ind w:firstLine="640" w:firstLineChars="200"/>
        <w:jc w:val="both"/>
        <w:rPr>
          <w:rFonts w:ascii="仿宋" w:hAnsi="仿宋" w:eastAsia="仿宋" w:cs="Times New Roman"/>
          <w:snapToGrid w:val="0"/>
          <w:color w:val="000000"/>
          <w:kern w:val="2"/>
          <w:sz w:val="32"/>
          <w:szCs w:val="32"/>
        </w:rPr>
      </w:pPr>
      <w:r>
        <w:rPr>
          <w:rFonts w:hint="eastAsia" w:ascii="黑体" w:hAnsi="黑体" w:eastAsia="黑体" w:cs="黑体"/>
          <w:snapToGrid w:val="0"/>
          <w:color w:val="000000"/>
          <w:kern w:val="2"/>
          <w:sz w:val="32"/>
          <w:szCs w:val="32"/>
        </w:rPr>
        <w:t>第三十七条</w:t>
      </w:r>
      <w:r>
        <w:rPr>
          <w:rFonts w:ascii="仿宋" w:hAnsi="仿宋" w:eastAsia="仿宋" w:cs="仿宋"/>
          <w:snapToGrid w:val="0"/>
          <w:color w:val="000000"/>
          <w:kern w:val="2"/>
          <w:sz w:val="32"/>
          <w:szCs w:val="32"/>
        </w:rPr>
        <w:t xml:space="preserve">  </w:t>
      </w:r>
      <w:r>
        <w:rPr>
          <w:rFonts w:hint="eastAsia" w:ascii="仿宋" w:hAnsi="仿宋" w:eastAsia="仿宋" w:cs="仿宋"/>
          <w:snapToGrid w:val="0"/>
          <w:color w:val="000000"/>
          <w:kern w:val="2"/>
          <w:sz w:val="32"/>
          <w:szCs w:val="32"/>
        </w:rPr>
        <w:t>电信设施产权人在城市道路、绿地等公共区域或者公共设施上进行电信设施紧急抢修时，可以先行施工，同时通知市政、公安交通管理等部门，并依法补办有关审批手续。</w:t>
      </w:r>
    </w:p>
    <w:p>
      <w:pPr>
        <w:pStyle w:val="4"/>
        <w:widowControl w:val="0"/>
        <w:adjustRightInd w:val="0"/>
        <w:snapToGrid w:val="0"/>
        <w:spacing w:before="0" w:beforeAutospacing="0" w:after="0" w:afterAutospacing="0" w:line="580" w:lineRule="exact"/>
        <w:ind w:firstLine="640" w:firstLineChars="200"/>
        <w:jc w:val="both"/>
        <w:rPr>
          <w:rFonts w:ascii="仿宋" w:hAnsi="仿宋" w:eastAsia="仿宋" w:cs="Times New Roman"/>
          <w:snapToGrid w:val="0"/>
          <w:color w:val="000000"/>
          <w:kern w:val="2"/>
          <w:sz w:val="32"/>
          <w:szCs w:val="32"/>
        </w:rPr>
      </w:pPr>
      <w:r>
        <w:rPr>
          <w:rFonts w:hint="eastAsia" w:ascii="仿宋" w:hAnsi="仿宋" w:eastAsia="仿宋" w:cs="仿宋"/>
          <w:snapToGrid w:val="0"/>
          <w:color w:val="000000"/>
          <w:kern w:val="2"/>
          <w:sz w:val="32"/>
          <w:szCs w:val="32"/>
        </w:rPr>
        <w:t>执行特殊通信、应急通信和抢修抢险任务的通信车辆，凭公安交通管理部门核发的专用通行证或者标识，在公路、城市道路优先通行；需要通过管制地段的，有关部门应当予以特准通行。</w:t>
      </w:r>
    </w:p>
    <w:p>
      <w:pPr>
        <w:pStyle w:val="4"/>
        <w:widowControl w:val="0"/>
        <w:adjustRightInd w:val="0"/>
        <w:snapToGrid w:val="0"/>
        <w:spacing w:before="0" w:beforeAutospacing="0" w:after="0" w:afterAutospacing="0" w:line="580" w:lineRule="exact"/>
        <w:ind w:firstLine="640" w:firstLineChars="200"/>
        <w:jc w:val="both"/>
        <w:rPr>
          <w:rFonts w:ascii="仿宋" w:hAnsi="仿宋" w:eastAsia="仿宋" w:cs="Times New Roman"/>
          <w:snapToGrid w:val="0"/>
          <w:color w:val="000000"/>
          <w:kern w:val="2"/>
          <w:sz w:val="32"/>
          <w:szCs w:val="32"/>
        </w:rPr>
      </w:pPr>
      <w:r>
        <w:rPr>
          <w:rFonts w:hint="eastAsia" w:ascii="黑体" w:hAnsi="黑体" w:eastAsia="黑体" w:cs="黑体"/>
          <w:snapToGrid w:val="0"/>
          <w:color w:val="000000"/>
          <w:kern w:val="2"/>
          <w:sz w:val="32"/>
          <w:szCs w:val="32"/>
        </w:rPr>
        <w:t>第三十八条</w:t>
      </w:r>
      <w:r>
        <w:rPr>
          <w:rFonts w:ascii="仿宋" w:hAnsi="仿宋" w:eastAsia="仿宋" w:cs="仿宋"/>
          <w:snapToGrid w:val="0"/>
          <w:color w:val="000000"/>
          <w:kern w:val="2"/>
          <w:sz w:val="32"/>
          <w:szCs w:val="32"/>
        </w:rPr>
        <w:t xml:space="preserve">  </w:t>
      </w:r>
      <w:r>
        <w:rPr>
          <w:rFonts w:hint="eastAsia" w:ascii="仿宋" w:hAnsi="仿宋" w:eastAsia="仿宋" w:cs="仿宋"/>
          <w:snapToGrid w:val="0"/>
          <w:color w:val="000000"/>
          <w:kern w:val="2"/>
          <w:sz w:val="32"/>
          <w:szCs w:val="32"/>
        </w:rPr>
        <w:t>禁止收购、出售、使用无合法来源证明的电信设备、器材。</w:t>
      </w:r>
    </w:p>
    <w:p>
      <w:pPr>
        <w:pStyle w:val="4"/>
        <w:widowControl w:val="0"/>
        <w:adjustRightInd w:val="0"/>
        <w:snapToGrid w:val="0"/>
        <w:spacing w:before="0" w:beforeAutospacing="0" w:after="0" w:afterAutospacing="0" w:line="580" w:lineRule="exact"/>
        <w:ind w:firstLine="640" w:firstLineChars="200"/>
        <w:jc w:val="both"/>
        <w:rPr>
          <w:rFonts w:ascii="仿宋" w:hAnsi="仿宋" w:eastAsia="仿宋" w:cs="Times New Roman"/>
          <w:snapToGrid w:val="0"/>
          <w:color w:val="000000"/>
          <w:kern w:val="2"/>
          <w:sz w:val="32"/>
          <w:szCs w:val="32"/>
        </w:rPr>
      </w:pPr>
      <w:r>
        <w:rPr>
          <w:rFonts w:hint="eastAsia" w:ascii="仿宋" w:hAnsi="仿宋" w:eastAsia="仿宋" w:cs="仿宋"/>
          <w:snapToGrid w:val="0"/>
          <w:color w:val="000000"/>
          <w:kern w:val="2"/>
          <w:sz w:val="32"/>
          <w:szCs w:val="32"/>
        </w:rPr>
        <w:t>收购、运输废旧电信设施的单位和个人，发现侵占、盗窃、破坏电信设施的线索，应当立即报告所在地公安机关。</w:t>
      </w:r>
    </w:p>
    <w:p>
      <w:pPr>
        <w:pStyle w:val="4"/>
        <w:widowControl w:val="0"/>
        <w:adjustRightInd w:val="0"/>
        <w:snapToGrid w:val="0"/>
        <w:spacing w:before="0" w:beforeAutospacing="0" w:after="0" w:afterAutospacing="0" w:line="580" w:lineRule="exact"/>
        <w:ind w:firstLine="640" w:firstLineChars="200"/>
        <w:jc w:val="both"/>
        <w:rPr>
          <w:rFonts w:ascii="仿宋" w:hAnsi="仿宋" w:eastAsia="仿宋" w:cs="Times New Roman"/>
          <w:snapToGrid w:val="0"/>
          <w:color w:val="000000"/>
          <w:kern w:val="2"/>
          <w:sz w:val="32"/>
          <w:szCs w:val="32"/>
        </w:rPr>
      </w:pPr>
      <w:r>
        <w:rPr>
          <w:rFonts w:hint="eastAsia" w:ascii="黑体" w:hAnsi="黑体" w:eastAsia="黑体" w:cs="黑体"/>
          <w:snapToGrid w:val="0"/>
          <w:color w:val="000000"/>
          <w:kern w:val="2"/>
          <w:sz w:val="32"/>
          <w:szCs w:val="32"/>
        </w:rPr>
        <w:t>第三十九条</w:t>
      </w:r>
      <w:r>
        <w:rPr>
          <w:rFonts w:ascii="仿宋" w:hAnsi="仿宋" w:eastAsia="仿宋" w:cs="仿宋"/>
          <w:snapToGrid w:val="0"/>
          <w:color w:val="000000"/>
          <w:kern w:val="2"/>
          <w:sz w:val="32"/>
          <w:szCs w:val="32"/>
        </w:rPr>
        <w:t xml:space="preserve">  </w:t>
      </w:r>
      <w:r>
        <w:rPr>
          <w:rFonts w:hint="eastAsia" w:ascii="仿宋" w:hAnsi="仿宋" w:eastAsia="仿宋" w:cs="仿宋"/>
          <w:snapToGrid w:val="0"/>
          <w:color w:val="000000"/>
          <w:kern w:val="2"/>
          <w:sz w:val="32"/>
          <w:szCs w:val="32"/>
        </w:rPr>
        <w:t>公安机关应当依法及时查处危害电信设施安全的违法行为。对危害电信设施违法行为进行举报的单位和个人，电信设施产权人可以给予奖励。</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p>
    <w:p>
      <w:pPr>
        <w:tabs>
          <w:tab w:val="left" w:pos="7380"/>
        </w:tabs>
        <w:adjustRightInd w:val="0"/>
        <w:snapToGrid w:val="0"/>
        <w:spacing w:line="580" w:lineRule="exact"/>
        <w:ind w:firstLine="640" w:firstLineChars="200"/>
        <w:jc w:val="center"/>
        <w:rPr>
          <w:rFonts w:ascii="黑体" w:hAnsi="黑体" w:eastAsia="黑体"/>
          <w:snapToGrid w:val="0"/>
          <w:color w:val="000000"/>
          <w:sz w:val="32"/>
          <w:szCs w:val="32"/>
        </w:rPr>
      </w:pPr>
      <w:r>
        <w:rPr>
          <w:rFonts w:hint="eastAsia" w:ascii="黑体" w:hAnsi="黑体" w:eastAsia="黑体" w:cs="黑体"/>
          <w:snapToGrid w:val="0"/>
          <w:color w:val="000000"/>
          <w:sz w:val="32"/>
          <w:szCs w:val="32"/>
        </w:rPr>
        <w:t>第四章</w:t>
      </w:r>
      <w:r>
        <w:rPr>
          <w:rFonts w:ascii="黑体" w:hAnsi="黑体" w:eastAsia="黑体" w:cs="黑体"/>
          <w:snapToGrid w:val="0"/>
          <w:color w:val="000000"/>
          <w:sz w:val="32"/>
          <w:szCs w:val="32"/>
        </w:rPr>
        <w:t xml:space="preserve">  </w:t>
      </w:r>
      <w:r>
        <w:rPr>
          <w:rFonts w:hint="eastAsia" w:ascii="黑体" w:hAnsi="黑体" w:eastAsia="黑体" w:cs="黑体"/>
          <w:snapToGrid w:val="0"/>
          <w:color w:val="000000"/>
          <w:sz w:val="32"/>
          <w:szCs w:val="32"/>
        </w:rPr>
        <w:t>法律责任</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黑体" w:hAnsi="黑体" w:eastAsia="黑体" w:cs="黑体"/>
          <w:snapToGrid w:val="0"/>
          <w:color w:val="000000"/>
          <w:sz w:val="32"/>
          <w:szCs w:val="32"/>
        </w:rPr>
        <w:t>第四十条</w:t>
      </w:r>
      <w:r>
        <w:rPr>
          <w:rFonts w:ascii="仿宋" w:hAnsi="仿宋" w:eastAsia="仿宋" w:cs="仿宋"/>
          <w:snapToGrid w:val="0"/>
          <w:color w:val="000000"/>
          <w:sz w:val="32"/>
          <w:szCs w:val="32"/>
        </w:rPr>
        <w:t xml:space="preserve">  </w:t>
      </w:r>
      <w:r>
        <w:rPr>
          <w:rFonts w:hint="eastAsia" w:ascii="仿宋" w:hAnsi="仿宋" w:eastAsia="仿宋" w:cs="仿宋"/>
          <w:snapToGrid w:val="0"/>
          <w:color w:val="000000"/>
          <w:sz w:val="32"/>
          <w:szCs w:val="32"/>
        </w:rPr>
        <w:t>违反本条例规定的行为，法律、行政法规已有法律责任规定的，从其规定。</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黑体" w:hAnsi="黑体" w:eastAsia="黑体" w:cs="黑体"/>
          <w:snapToGrid w:val="0"/>
          <w:color w:val="000000"/>
          <w:sz w:val="32"/>
          <w:szCs w:val="32"/>
        </w:rPr>
        <w:t>第四十一条</w:t>
      </w:r>
      <w:r>
        <w:rPr>
          <w:rFonts w:ascii="仿宋" w:hAnsi="仿宋" w:eastAsia="仿宋" w:cs="仿宋"/>
          <w:snapToGrid w:val="0"/>
          <w:color w:val="000000"/>
          <w:sz w:val="32"/>
          <w:szCs w:val="32"/>
        </w:rPr>
        <w:t xml:space="preserve">  </w:t>
      </w:r>
      <w:r>
        <w:rPr>
          <w:rFonts w:hint="eastAsia" w:ascii="仿宋" w:hAnsi="仿宋" w:eastAsia="仿宋" w:cs="仿宋"/>
          <w:snapToGrid w:val="0"/>
          <w:color w:val="000000"/>
          <w:sz w:val="32"/>
          <w:szCs w:val="32"/>
        </w:rPr>
        <w:t>违反本条例第十四条第二款规定，电信设施建设单位拒不执行共建共享的，由电信管理机构责令改正；拒不改正的，处一万元以上十万元以下罚款。</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黑体" w:hAnsi="黑体" w:eastAsia="黑体" w:cs="黑体"/>
          <w:snapToGrid w:val="0"/>
          <w:color w:val="000000"/>
          <w:sz w:val="32"/>
          <w:szCs w:val="32"/>
        </w:rPr>
        <w:t>第四十二条</w:t>
      </w:r>
      <w:r>
        <w:rPr>
          <w:rFonts w:ascii="仿宋" w:hAnsi="仿宋" w:eastAsia="仿宋" w:cs="仿宋"/>
          <w:snapToGrid w:val="0"/>
          <w:color w:val="000000"/>
          <w:sz w:val="32"/>
          <w:szCs w:val="32"/>
        </w:rPr>
        <w:t xml:space="preserve">  </w:t>
      </w:r>
      <w:r>
        <w:rPr>
          <w:rFonts w:hint="eastAsia" w:ascii="仿宋" w:hAnsi="仿宋" w:eastAsia="仿宋" w:cs="仿宋"/>
          <w:snapToGrid w:val="0"/>
          <w:color w:val="000000"/>
          <w:sz w:val="32"/>
          <w:szCs w:val="32"/>
        </w:rPr>
        <w:t>违反本条例第十九条第一款规定，建设架空电信线路的，由电信管理机构责令改正；拒不改正的，处一万元以上十万元以下罚款。</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黑体" w:hAnsi="黑体" w:eastAsia="黑体" w:cs="黑体"/>
          <w:snapToGrid w:val="0"/>
          <w:color w:val="000000"/>
          <w:sz w:val="32"/>
          <w:szCs w:val="32"/>
        </w:rPr>
        <w:t>第四十三条</w:t>
      </w:r>
      <w:r>
        <w:rPr>
          <w:rFonts w:ascii="仿宋" w:hAnsi="仿宋" w:eastAsia="仿宋" w:cs="仿宋"/>
          <w:snapToGrid w:val="0"/>
          <w:color w:val="000000"/>
          <w:sz w:val="32"/>
          <w:szCs w:val="32"/>
        </w:rPr>
        <w:t xml:space="preserve">  </w:t>
      </w:r>
      <w:r>
        <w:rPr>
          <w:rFonts w:hint="eastAsia" w:ascii="仿宋" w:hAnsi="仿宋" w:eastAsia="仿宋" w:cs="仿宋"/>
          <w:snapToGrid w:val="0"/>
          <w:color w:val="000000"/>
          <w:sz w:val="32"/>
          <w:szCs w:val="32"/>
        </w:rPr>
        <w:t>违反本条例第二十条第一款、第二十一条第一款规定，不按照规定配套建设电信设施的，由电信管理机构责令改正；拒不改正的，处一万元以上十万元以下罚款。</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黑体" w:hAnsi="黑体" w:eastAsia="黑体" w:cs="黑体"/>
          <w:snapToGrid w:val="0"/>
          <w:color w:val="000000"/>
          <w:sz w:val="32"/>
          <w:szCs w:val="32"/>
        </w:rPr>
        <w:t>第四十四条</w:t>
      </w:r>
      <w:r>
        <w:rPr>
          <w:rFonts w:ascii="仿宋" w:hAnsi="仿宋" w:eastAsia="仿宋" w:cs="仿宋"/>
          <w:snapToGrid w:val="0"/>
          <w:color w:val="000000"/>
          <w:sz w:val="32"/>
          <w:szCs w:val="32"/>
        </w:rPr>
        <w:t xml:space="preserve">  </w:t>
      </w:r>
      <w:r>
        <w:rPr>
          <w:rFonts w:hint="eastAsia" w:ascii="仿宋" w:hAnsi="仿宋" w:eastAsia="仿宋" w:cs="仿宋"/>
          <w:snapToGrid w:val="0"/>
          <w:color w:val="000000"/>
          <w:sz w:val="32"/>
          <w:szCs w:val="32"/>
        </w:rPr>
        <w:t>违反本条例第二十三条第一款规定，民用建筑物和市政公用设施的开发者、产权人或者管理者阻碍依法进行的电信设施建设的，由电信管理机构责令改正；拒不改正的，处一万元以上五万元以下罚款。</w:t>
      </w:r>
    </w:p>
    <w:p>
      <w:pPr>
        <w:tabs>
          <w:tab w:val="left" w:pos="7380"/>
        </w:tabs>
        <w:adjustRightInd w:val="0"/>
        <w:snapToGrid w:val="0"/>
        <w:spacing w:line="580" w:lineRule="exact"/>
        <w:ind w:firstLine="640" w:firstLineChars="200"/>
        <w:rPr>
          <w:rFonts w:ascii="仿宋" w:hAnsi="仿宋" w:eastAsia="仿宋"/>
          <w:snapToGrid w:val="0"/>
          <w:color w:val="000000"/>
          <w:sz w:val="32"/>
          <w:szCs w:val="32"/>
          <w:bdr w:val="single" w:color="auto" w:sz="4" w:space="0"/>
        </w:rPr>
      </w:pPr>
      <w:r>
        <w:rPr>
          <w:rFonts w:hint="eastAsia" w:ascii="黑体" w:hAnsi="黑体" w:eastAsia="黑体" w:cs="黑体"/>
          <w:snapToGrid w:val="0"/>
          <w:color w:val="000000"/>
          <w:sz w:val="32"/>
          <w:szCs w:val="32"/>
        </w:rPr>
        <w:t>第四十五条</w:t>
      </w:r>
      <w:r>
        <w:rPr>
          <w:rFonts w:ascii="仿宋" w:hAnsi="仿宋" w:eastAsia="仿宋" w:cs="仿宋"/>
          <w:snapToGrid w:val="0"/>
          <w:color w:val="000000"/>
          <w:sz w:val="32"/>
          <w:szCs w:val="32"/>
        </w:rPr>
        <w:t xml:space="preserve">  </w:t>
      </w:r>
      <w:r>
        <w:rPr>
          <w:rFonts w:hint="eastAsia" w:ascii="仿宋" w:hAnsi="仿宋" w:eastAsia="仿宋" w:cs="仿宋"/>
          <w:snapToGrid w:val="0"/>
          <w:color w:val="000000"/>
          <w:sz w:val="32"/>
          <w:szCs w:val="32"/>
        </w:rPr>
        <w:t>违反本条例第三十一条第一项至第七项规定，由电信管理机构责令停止违法行为并清理现场或者恢复原状；拒不执行的，对个人处五千元以上一万元以下罚款，对单位处二万元以上十万元以下罚款。</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r>
        <w:rPr>
          <w:rFonts w:hint="eastAsia" w:ascii="仿宋" w:hAnsi="仿宋" w:eastAsia="仿宋" w:cs="仿宋"/>
          <w:snapToGrid w:val="0"/>
          <w:color w:val="000000"/>
          <w:sz w:val="32"/>
          <w:szCs w:val="32"/>
        </w:rPr>
        <w:t>前款行为造成损失的，依法承担民事责任；构成犯罪的，依法追究刑事责任。</w:t>
      </w:r>
    </w:p>
    <w:p>
      <w:pPr>
        <w:adjustRightInd w:val="0"/>
        <w:snapToGrid w:val="0"/>
        <w:spacing w:line="580" w:lineRule="exact"/>
        <w:ind w:firstLine="640" w:firstLineChars="200"/>
        <w:rPr>
          <w:rFonts w:ascii="仿宋" w:hAnsi="仿宋" w:eastAsia="仿宋"/>
          <w:snapToGrid w:val="0"/>
          <w:color w:val="000000"/>
          <w:sz w:val="32"/>
          <w:szCs w:val="32"/>
        </w:rPr>
      </w:pPr>
      <w:r>
        <w:rPr>
          <w:rFonts w:hint="eastAsia" w:ascii="黑体" w:hAnsi="黑体" w:eastAsia="黑体" w:cs="黑体"/>
          <w:snapToGrid w:val="0"/>
          <w:color w:val="000000"/>
          <w:sz w:val="32"/>
          <w:szCs w:val="32"/>
        </w:rPr>
        <w:t>第四十六条</w:t>
      </w:r>
      <w:r>
        <w:rPr>
          <w:rFonts w:ascii="仿宋" w:hAnsi="仿宋" w:eastAsia="仿宋" w:cs="仿宋"/>
          <w:snapToGrid w:val="0"/>
          <w:color w:val="000000"/>
          <w:sz w:val="32"/>
          <w:szCs w:val="32"/>
        </w:rPr>
        <w:t xml:space="preserve">  </w:t>
      </w:r>
      <w:r>
        <w:rPr>
          <w:rFonts w:hint="eastAsia" w:ascii="仿宋" w:hAnsi="仿宋" w:eastAsia="仿宋" w:cs="仿宋"/>
          <w:snapToGrid w:val="0"/>
          <w:color w:val="000000"/>
          <w:sz w:val="32"/>
          <w:szCs w:val="32"/>
        </w:rPr>
        <w:t>电信管理机构以及其他有关行政管理部门的工作人员在电信设施建设和保护管理工作中，违反本条例规定，滥用职权、玩忽职守、徇私舞弊的，由有关机关依法给予处分；构成犯罪的，依法追究刑事责任。</w:t>
      </w:r>
    </w:p>
    <w:p>
      <w:pPr>
        <w:tabs>
          <w:tab w:val="left" w:pos="7380"/>
        </w:tabs>
        <w:adjustRightInd w:val="0"/>
        <w:snapToGrid w:val="0"/>
        <w:spacing w:line="580" w:lineRule="exact"/>
        <w:ind w:firstLine="640" w:firstLineChars="200"/>
        <w:rPr>
          <w:rFonts w:ascii="仿宋" w:hAnsi="仿宋" w:eastAsia="仿宋"/>
          <w:snapToGrid w:val="0"/>
          <w:color w:val="000000"/>
          <w:sz w:val="32"/>
          <w:szCs w:val="32"/>
        </w:rPr>
      </w:pPr>
    </w:p>
    <w:p>
      <w:pPr>
        <w:tabs>
          <w:tab w:val="left" w:pos="7380"/>
        </w:tabs>
        <w:adjustRightInd w:val="0"/>
        <w:snapToGrid w:val="0"/>
        <w:spacing w:line="580" w:lineRule="exact"/>
        <w:ind w:firstLine="640" w:firstLineChars="200"/>
        <w:jc w:val="center"/>
        <w:rPr>
          <w:rFonts w:ascii="黑体" w:hAnsi="黑体" w:eastAsia="黑体"/>
          <w:snapToGrid w:val="0"/>
          <w:color w:val="000000"/>
          <w:sz w:val="32"/>
          <w:szCs w:val="32"/>
        </w:rPr>
      </w:pPr>
      <w:r>
        <w:rPr>
          <w:rFonts w:hint="eastAsia" w:ascii="黑体" w:hAnsi="黑体" w:eastAsia="黑体" w:cs="黑体"/>
          <w:snapToGrid w:val="0"/>
          <w:color w:val="000000"/>
          <w:sz w:val="32"/>
          <w:szCs w:val="32"/>
        </w:rPr>
        <w:t>第五章</w:t>
      </w:r>
      <w:r>
        <w:rPr>
          <w:rFonts w:ascii="黑体" w:hAnsi="黑体" w:eastAsia="黑体" w:cs="黑体"/>
          <w:snapToGrid w:val="0"/>
          <w:color w:val="000000"/>
          <w:sz w:val="32"/>
          <w:szCs w:val="32"/>
        </w:rPr>
        <w:t xml:space="preserve">  </w:t>
      </w:r>
      <w:r>
        <w:rPr>
          <w:rFonts w:hint="eastAsia" w:ascii="黑体" w:hAnsi="黑体" w:eastAsia="黑体" w:cs="黑体"/>
          <w:snapToGrid w:val="0"/>
          <w:color w:val="000000"/>
          <w:sz w:val="32"/>
          <w:szCs w:val="32"/>
        </w:rPr>
        <w:t>附</w:t>
      </w:r>
      <w:r>
        <w:rPr>
          <w:rFonts w:ascii="黑体" w:hAnsi="黑体" w:eastAsia="黑体" w:cs="黑体"/>
          <w:snapToGrid w:val="0"/>
          <w:color w:val="000000"/>
          <w:sz w:val="32"/>
          <w:szCs w:val="32"/>
        </w:rPr>
        <w:t xml:space="preserve">  </w:t>
      </w:r>
      <w:r>
        <w:rPr>
          <w:rFonts w:hint="eastAsia" w:ascii="黑体" w:hAnsi="黑体" w:eastAsia="黑体" w:cs="黑体"/>
          <w:snapToGrid w:val="0"/>
          <w:color w:val="000000"/>
          <w:sz w:val="32"/>
          <w:szCs w:val="32"/>
        </w:rPr>
        <w:t>则</w:t>
      </w:r>
    </w:p>
    <w:p>
      <w:pPr>
        <w:adjustRightInd w:val="0"/>
        <w:snapToGrid w:val="0"/>
        <w:spacing w:line="580" w:lineRule="exact"/>
        <w:ind w:firstLine="640" w:firstLineChars="200"/>
        <w:rPr>
          <w:rFonts w:ascii="仿宋" w:hAnsi="仿宋" w:eastAsia="仿宋"/>
          <w:snapToGrid w:val="0"/>
          <w:color w:val="000000"/>
          <w:sz w:val="32"/>
          <w:szCs w:val="32"/>
        </w:rPr>
      </w:pPr>
    </w:p>
    <w:p>
      <w:pPr>
        <w:spacing w:line="580" w:lineRule="exact"/>
        <w:ind w:firstLine="640" w:firstLineChars="200"/>
      </w:pPr>
      <w:r>
        <w:rPr>
          <w:rFonts w:hint="eastAsia" w:ascii="黑体" w:hAnsi="黑体" w:eastAsia="黑体" w:cs="黑体"/>
          <w:snapToGrid w:val="0"/>
          <w:color w:val="000000"/>
          <w:sz w:val="32"/>
          <w:szCs w:val="32"/>
        </w:rPr>
        <w:t>第四十七条</w:t>
      </w:r>
      <w:r>
        <w:rPr>
          <w:rFonts w:ascii="仿宋" w:hAnsi="仿宋" w:eastAsia="仿宋" w:cs="仿宋"/>
          <w:snapToGrid w:val="0"/>
          <w:color w:val="000000"/>
          <w:sz w:val="32"/>
          <w:szCs w:val="32"/>
        </w:rPr>
        <w:t xml:space="preserve">  </w:t>
      </w:r>
      <w:r>
        <w:rPr>
          <w:rFonts w:hint="eastAsia" w:ascii="仿宋" w:hAnsi="仿宋" w:eastAsia="仿宋" w:cs="仿宋"/>
          <w:snapToGrid w:val="0"/>
          <w:color w:val="000000"/>
          <w:sz w:val="32"/>
          <w:szCs w:val="32"/>
        </w:rPr>
        <w:t>本条例自</w:t>
      </w:r>
      <w:r>
        <w:rPr>
          <w:rFonts w:ascii="仿宋" w:hAnsi="仿宋" w:eastAsia="仿宋" w:cs="仿宋"/>
          <w:snapToGrid w:val="0"/>
          <w:color w:val="000000"/>
          <w:sz w:val="32"/>
          <w:szCs w:val="32"/>
        </w:rPr>
        <w:t>2018</w:t>
      </w:r>
      <w:r>
        <w:rPr>
          <w:rFonts w:hint="eastAsia" w:ascii="仿宋" w:hAnsi="仿宋" w:eastAsia="仿宋" w:cs="仿宋"/>
          <w:snapToGrid w:val="0"/>
          <w:color w:val="000000"/>
          <w:sz w:val="32"/>
          <w:szCs w:val="32"/>
        </w:rPr>
        <w:t>年</w:t>
      </w:r>
      <w:r>
        <w:rPr>
          <w:rFonts w:ascii="仿宋" w:hAnsi="仿宋" w:eastAsia="仿宋" w:cs="仿宋"/>
          <w:snapToGrid w:val="0"/>
          <w:color w:val="000000"/>
          <w:sz w:val="32"/>
          <w:szCs w:val="32"/>
        </w:rPr>
        <w:t>6</w:t>
      </w:r>
      <w:r>
        <w:rPr>
          <w:rFonts w:hint="eastAsia" w:ascii="仿宋" w:hAnsi="仿宋" w:eastAsia="仿宋" w:cs="仿宋"/>
          <w:snapToGrid w:val="0"/>
          <w:color w:val="000000"/>
          <w:sz w:val="32"/>
          <w:szCs w:val="32"/>
        </w:rPr>
        <w:t>月</w:t>
      </w:r>
      <w:r>
        <w:rPr>
          <w:rFonts w:ascii="仿宋" w:hAnsi="仿宋" w:eastAsia="仿宋" w:cs="仿宋"/>
          <w:snapToGrid w:val="0"/>
          <w:color w:val="000000"/>
          <w:sz w:val="32"/>
          <w:szCs w:val="32"/>
        </w:rPr>
        <w:t>1</w:t>
      </w:r>
      <w:r>
        <w:rPr>
          <w:rFonts w:hint="eastAsia" w:ascii="仿宋" w:hAnsi="仿宋" w:eastAsia="仿宋" w:cs="仿宋"/>
          <w:snapToGrid w:val="0"/>
          <w:color w:val="000000"/>
          <w:sz w:val="32"/>
          <w:szCs w:val="32"/>
        </w:rPr>
        <w:t>日起施行。</w:t>
      </w:r>
    </w:p>
    <w:sectPr>
      <w:footerReference r:id="rId3" w:type="default"/>
      <w:footerReference r:id="rId4" w:type="even"/>
      <w:pgSz w:w="11906" w:h="16838"/>
      <w:pgMar w:top="2041" w:right="1474" w:bottom="2041" w:left="1474" w:header="851" w:footer="1644" w:gutter="0"/>
      <w:pgNumType w:fmt="numberInDash"/>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000101FF" w:csb1="00000000"/>
  </w:font>
  <w:font w:name="Verdana">
    <w:altName w:val="DejaVu Sans"/>
    <w:panose1 w:val="020B0604030504040204"/>
    <w:charset w:val="00"/>
    <w:family w:val="swiss"/>
    <w:pitch w:val="default"/>
    <w:sig w:usb0="00000000" w:usb1="00000000" w:usb2="00000010"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50" o:spid="_x0000_s2050"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weight="0.5pt" joinstyle="miter"/>
          <v:imagedata o:title=""/>
          <o:lock v:ext="edit"/>
          <v:textbox inset="0mm,0mm,0mm,0mm" style="mso-fit-shape-to-text:t;">
            <w:txbxContent>
              <w:p>
                <w:pPr>
                  <w:snapToGrid w:val="0"/>
                  <w:rPr>
                    <w:sz w:val="24"/>
                    <w:szCs w:val="24"/>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p>
            </w:txbxContent>
          </v:textbox>
        </v:shape>
      </w:pict>
    </w:r>
    <w:r>
      <w:pict>
        <v:shape id="_x0000_s2051" o:spid="_x0000_s2051" o:spt="202" type="#_x0000_t202" style="position:absolute;left:0pt;margin-top:0pt;height:144pt;width:144pt;mso-position-horizontal:outside;mso-position-horizontal-relative:margin;mso-wrap-style:none;z-index:251657216;mso-width-relative:page;mso-height-relative:page;" filled="f" stroked="f" coordsize="21600,21600">
          <v:path/>
          <v:fill on="f" focussize="0,0"/>
          <v:stroke on="f" weight="0.5pt" joinstyle="miter"/>
          <v:imagedata o:title=""/>
          <o:lock v:ext="edit"/>
          <v:textbox inset="0mm,0mm,0mm,0mm" style="mso-fit-shape-to-text:t;">
            <w:txbxContent>
              <w:p>
                <w:pPr>
                  <w:pStyle w:val="2"/>
                  <w:rPr>
                    <w:rStyle w:val="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weight="0.5pt" joinstyle="miter"/>
          <v:imagedata o:title=""/>
          <o:lock v:ext="edit"/>
          <v:textbox inset="0mm,0mm,0mm,0mm" style="mso-fit-shape-to-text:t;">
            <w:txbxContent>
              <w:p>
                <w:pPr>
                  <w:pStyle w:val="2"/>
                  <w:rPr>
                    <w:rStyle w:val="8"/>
                    <w:rFonts w:ascii="仿宋_GB2312" w:hAnsi="仿宋_GB2312" w:eastAsia="仿宋_GB2312"/>
                    <w:sz w:val="28"/>
                    <w:szCs w:val="28"/>
                  </w:rPr>
                </w:pPr>
                <w:r>
                  <w:rPr>
                    <w:rStyle w:val="8"/>
                    <w:rFonts w:ascii="宋体" w:hAnsi="宋体" w:cs="宋体"/>
                    <w:sz w:val="28"/>
                    <w:szCs w:val="28"/>
                  </w:rPr>
                  <w:fldChar w:fldCharType="begin"/>
                </w:r>
                <w:r>
                  <w:rPr>
                    <w:rStyle w:val="8"/>
                    <w:rFonts w:ascii="宋体" w:hAnsi="宋体" w:cs="宋体"/>
                    <w:sz w:val="28"/>
                    <w:szCs w:val="28"/>
                  </w:rPr>
                  <w:instrText xml:space="preserve">PAGE  </w:instrText>
                </w:r>
                <w:r>
                  <w:rPr>
                    <w:rStyle w:val="8"/>
                    <w:rFonts w:ascii="宋体" w:hAnsi="宋体" w:cs="宋体"/>
                    <w:sz w:val="28"/>
                    <w:szCs w:val="28"/>
                  </w:rPr>
                  <w:fldChar w:fldCharType="separate"/>
                </w:r>
                <w:r>
                  <w:rPr>
                    <w:rStyle w:val="8"/>
                    <w:rFonts w:ascii="宋体" w:hAnsi="宋体" w:cs="宋体"/>
                    <w:sz w:val="28"/>
                    <w:szCs w:val="28"/>
                  </w:rPr>
                  <w:t>- 2 -</w:t>
                </w:r>
                <w:r>
                  <w:rPr>
                    <w:rStyle w:val="8"/>
                    <w:rFonts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oNotHyphenateCaps/>
  <w:evenAndOddHeaders w:val="true"/>
  <w:drawingGridVerticalSpacing w:val="159"/>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3480"/>
    <w:rsid w:val="00000BA3"/>
    <w:rsid w:val="00001105"/>
    <w:rsid w:val="0000218A"/>
    <w:rsid w:val="000041AD"/>
    <w:rsid w:val="0000676D"/>
    <w:rsid w:val="00011A8E"/>
    <w:rsid w:val="000161E0"/>
    <w:rsid w:val="00020F8D"/>
    <w:rsid w:val="00025294"/>
    <w:rsid w:val="00025F9C"/>
    <w:rsid w:val="00031ADA"/>
    <w:rsid w:val="000628EB"/>
    <w:rsid w:val="00067621"/>
    <w:rsid w:val="00067AF2"/>
    <w:rsid w:val="0008406D"/>
    <w:rsid w:val="00087A58"/>
    <w:rsid w:val="00087E04"/>
    <w:rsid w:val="000949EF"/>
    <w:rsid w:val="000E0A8D"/>
    <w:rsid w:val="000E2407"/>
    <w:rsid w:val="000E2949"/>
    <w:rsid w:val="000E4962"/>
    <w:rsid w:val="000E5A7D"/>
    <w:rsid w:val="000F20F7"/>
    <w:rsid w:val="001032A2"/>
    <w:rsid w:val="001113D1"/>
    <w:rsid w:val="0011420D"/>
    <w:rsid w:val="00116236"/>
    <w:rsid w:val="00116DC0"/>
    <w:rsid w:val="00143793"/>
    <w:rsid w:val="001440C0"/>
    <w:rsid w:val="00156F9E"/>
    <w:rsid w:val="00165941"/>
    <w:rsid w:val="00170A96"/>
    <w:rsid w:val="00177122"/>
    <w:rsid w:val="00180C78"/>
    <w:rsid w:val="00186E4D"/>
    <w:rsid w:val="0019243D"/>
    <w:rsid w:val="001A412D"/>
    <w:rsid w:val="001A7603"/>
    <w:rsid w:val="001B0692"/>
    <w:rsid w:val="001B1873"/>
    <w:rsid w:val="001C0D23"/>
    <w:rsid w:val="001C69CD"/>
    <w:rsid w:val="001D4756"/>
    <w:rsid w:val="002019A8"/>
    <w:rsid w:val="00205F07"/>
    <w:rsid w:val="0021077A"/>
    <w:rsid w:val="002223BD"/>
    <w:rsid w:val="00224C9A"/>
    <w:rsid w:val="002255D6"/>
    <w:rsid w:val="00225D49"/>
    <w:rsid w:val="002333E4"/>
    <w:rsid w:val="0023580C"/>
    <w:rsid w:val="00240EB6"/>
    <w:rsid w:val="00247CB4"/>
    <w:rsid w:val="00251C60"/>
    <w:rsid w:val="0026117F"/>
    <w:rsid w:val="00270D06"/>
    <w:rsid w:val="00274F67"/>
    <w:rsid w:val="00276815"/>
    <w:rsid w:val="002821A2"/>
    <w:rsid w:val="00285047"/>
    <w:rsid w:val="00290C51"/>
    <w:rsid w:val="002964FC"/>
    <w:rsid w:val="00296FD4"/>
    <w:rsid w:val="002C1AA6"/>
    <w:rsid w:val="002C277C"/>
    <w:rsid w:val="002C2D94"/>
    <w:rsid w:val="002C5C85"/>
    <w:rsid w:val="002E011E"/>
    <w:rsid w:val="002E105B"/>
    <w:rsid w:val="002F2869"/>
    <w:rsid w:val="002F3CFB"/>
    <w:rsid w:val="00301C18"/>
    <w:rsid w:val="0030558C"/>
    <w:rsid w:val="00305E7E"/>
    <w:rsid w:val="00305F01"/>
    <w:rsid w:val="00311697"/>
    <w:rsid w:val="00312E0E"/>
    <w:rsid w:val="0033213A"/>
    <w:rsid w:val="00336823"/>
    <w:rsid w:val="00350929"/>
    <w:rsid w:val="0035191B"/>
    <w:rsid w:val="003537D5"/>
    <w:rsid w:val="0037030E"/>
    <w:rsid w:val="00371C58"/>
    <w:rsid w:val="00372A0E"/>
    <w:rsid w:val="00375381"/>
    <w:rsid w:val="00380AEC"/>
    <w:rsid w:val="003917A9"/>
    <w:rsid w:val="00394369"/>
    <w:rsid w:val="003A31CB"/>
    <w:rsid w:val="003A5576"/>
    <w:rsid w:val="003B1CE3"/>
    <w:rsid w:val="003B21B6"/>
    <w:rsid w:val="003B2205"/>
    <w:rsid w:val="003B6244"/>
    <w:rsid w:val="003B7EDF"/>
    <w:rsid w:val="003C1BDC"/>
    <w:rsid w:val="003C4086"/>
    <w:rsid w:val="003C4C3C"/>
    <w:rsid w:val="003D10E9"/>
    <w:rsid w:val="003D52BF"/>
    <w:rsid w:val="003E0155"/>
    <w:rsid w:val="003F13D9"/>
    <w:rsid w:val="00405358"/>
    <w:rsid w:val="00425D4C"/>
    <w:rsid w:val="0043239D"/>
    <w:rsid w:val="004472F1"/>
    <w:rsid w:val="00456EC0"/>
    <w:rsid w:val="004679D4"/>
    <w:rsid w:val="0047402C"/>
    <w:rsid w:val="00475E2B"/>
    <w:rsid w:val="004829F4"/>
    <w:rsid w:val="004913DE"/>
    <w:rsid w:val="00495E1B"/>
    <w:rsid w:val="00497C14"/>
    <w:rsid w:val="004A2D5C"/>
    <w:rsid w:val="004A53F9"/>
    <w:rsid w:val="004A7A2C"/>
    <w:rsid w:val="004B3CB8"/>
    <w:rsid w:val="004C1757"/>
    <w:rsid w:val="004C33D9"/>
    <w:rsid w:val="004C42EE"/>
    <w:rsid w:val="004C768D"/>
    <w:rsid w:val="004D6DC0"/>
    <w:rsid w:val="004E3318"/>
    <w:rsid w:val="004F5C0A"/>
    <w:rsid w:val="005010F8"/>
    <w:rsid w:val="00502FEC"/>
    <w:rsid w:val="0051385A"/>
    <w:rsid w:val="005140BF"/>
    <w:rsid w:val="005169F6"/>
    <w:rsid w:val="00522D6E"/>
    <w:rsid w:val="0052557D"/>
    <w:rsid w:val="00526E57"/>
    <w:rsid w:val="005437B8"/>
    <w:rsid w:val="00551AAE"/>
    <w:rsid w:val="00571774"/>
    <w:rsid w:val="00586536"/>
    <w:rsid w:val="00586BF1"/>
    <w:rsid w:val="0059608F"/>
    <w:rsid w:val="005B024E"/>
    <w:rsid w:val="005B3803"/>
    <w:rsid w:val="005B772B"/>
    <w:rsid w:val="005D363C"/>
    <w:rsid w:val="005E40CE"/>
    <w:rsid w:val="005E7DD3"/>
    <w:rsid w:val="005F55B5"/>
    <w:rsid w:val="005F7486"/>
    <w:rsid w:val="00606A95"/>
    <w:rsid w:val="00616A90"/>
    <w:rsid w:val="006201D3"/>
    <w:rsid w:val="00631EEA"/>
    <w:rsid w:val="006335BA"/>
    <w:rsid w:val="00633CC2"/>
    <w:rsid w:val="00636EF8"/>
    <w:rsid w:val="00646AC6"/>
    <w:rsid w:val="00654B61"/>
    <w:rsid w:val="00655CE0"/>
    <w:rsid w:val="00665ABD"/>
    <w:rsid w:val="00667DE4"/>
    <w:rsid w:val="006755EC"/>
    <w:rsid w:val="00682B2A"/>
    <w:rsid w:val="00687B7F"/>
    <w:rsid w:val="00696BF0"/>
    <w:rsid w:val="006A1BB0"/>
    <w:rsid w:val="006B0083"/>
    <w:rsid w:val="006B1BBF"/>
    <w:rsid w:val="006B31EA"/>
    <w:rsid w:val="006B6064"/>
    <w:rsid w:val="006C4293"/>
    <w:rsid w:val="006C662E"/>
    <w:rsid w:val="006E07DA"/>
    <w:rsid w:val="006E095E"/>
    <w:rsid w:val="006E2BAB"/>
    <w:rsid w:val="006E358B"/>
    <w:rsid w:val="006E5614"/>
    <w:rsid w:val="006E6272"/>
    <w:rsid w:val="006F041E"/>
    <w:rsid w:val="006F3916"/>
    <w:rsid w:val="006F4210"/>
    <w:rsid w:val="00700890"/>
    <w:rsid w:val="00710E98"/>
    <w:rsid w:val="00717FFD"/>
    <w:rsid w:val="00721703"/>
    <w:rsid w:val="007229AF"/>
    <w:rsid w:val="0073628E"/>
    <w:rsid w:val="00750B90"/>
    <w:rsid w:val="00760B08"/>
    <w:rsid w:val="00766241"/>
    <w:rsid w:val="00773755"/>
    <w:rsid w:val="00776933"/>
    <w:rsid w:val="007847BE"/>
    <w:rsid w:val="00786B5A"/>
    <w:rsid w:val="00786B8C"/>
    <w:rsid w:val="00791464"/>
    <w:rsid w:val="007971A5"/>
    <w:rsid w:val="007A0E37"/>
    <w:rsid w:val="007A10F3"/>
    <w:rsid w:val="007B47EB"/>
    <w:rsid w:val="007C48E4"/>
    <w:rsid w:val="007E4C82"/>
    <w:rsid w:val="007F03E9"/>
    <w:rsid w:val="007F0527"/>
    <w:rsid w:val="007F2D15"/>
    <w:rsid w:val="007F340B"/>
    <w:rsid w:val="00801709"/>
    <w:rsid w:val="008028E2"/>
    <w:rsid w:val="00805EAE"/>
    <w:rsid w:val="00814B49"/>
    <w:rsid w:val="00821698"/>
    <w:rsid w:val="0082752E"/>
    <w:rsid w:val="0083444A"/>
    <w:rsid w:val="0084563E"/>
    <w:rsid w:val="00846AFA"/>
    <w:rsid w:val="00852585"/>
    <w:rsid w:val="008549AB"/>
    <w:rsid w:val="00857F0F"/>
    <w:rsid w:val="00872DE1"/>
    <w:rsid w:val="0087315C"/>
    <w:rsid w:val="00874D09"/>
    <w:rsid w:val="00881C2E"/>
    <w:rsid w:val="00881CF3"/>
    <w:rsid w:val="00885A49"/>
    <w:rsid w:val="0088788B"/>
    <w:rsid w:val="00892D9E"/>
    <w:rsid w:val="00896104"/>
    <w:rsid w:val="00896CBC"/>
    <w:rsid w:val="00896E55"/>
    <w:rsid w:val="008A64A0"/>
    <w:rsid w:val="008B197C"/>
    <w:rsid w:val="008B3406"/>
    <w:rsid w:val="008B6235"/>
    <w:rsid w:val="008B6E56"/>
    <w:rsid w:val="008C365C"/>
    <w:rsid w:val="008C36AB"/>
    <w:rsid w:val="008C57B6"/>
    <w:rsid w:val="008C6269"/>
    <w:rsid w:val="008E57EA"/>
    <w:rsid w:val="008F7A5C"/>
    <w:rsid w:val="0090066D"/>
    <w:rsid w:val="00903A8B"/>
    <w:rsid w:val="009169F8"/>
    <w:rsid w:val="0091720E"/>
    <w:rsid w:val="0092515A"/>
    <w:rsid w:val="00932090"/>
    <w:rsid w:val="00933C5E"/>
    <w:rsid w:val="0094193A"/>
    <w:rsid w:val="009464C0"/>
    <w:rsid w:val="00952B82"/>
    <w:rsid w:val="0096180D"/>
    <w:rsid w:val="0096275F"/>
    <w:rsid w:val="00965AFA"/>
    <w:rsid w:val="00974480"/>
    <w:rsid w:val="00981280"/>
    <w:rsid w:val="00983D9B"/>
    <w:rsid w:val="009860B0"/>
    <w:rsid w:val="00991FBE"/>
    <w:rsid w:val="009A0858"/>
    <w:rsid w:val="009A62BC"/>
    <w:rsid w:val="009B0EAD"/>
    <w:rsid w:val="009B4316"/>
    <w:rsid w:val="009D61F2"/>
    <w:rsid w:val="009E6BAB"/>
    <w:rsid w:val="00A0572F"/>
    <w:rsid w:val="00A0673F"/>
    <w:rsid w:val="00A14E2A"/>
    <w:rsid w:val="00A167ED"/>
    <w:rsid w:val="00A22312"/>
    <w:rsid w:val="00A2330B"/>
    <w:rsid w:val="00A31116"/>
    <w:rsid w:val="00A354EF"/>
    <w:rsid w:val="00A360D5"/>
    <w:rsid w:val="00A55A81"/>
    <w:rsid w:val="00A572C8"/>
    <w:rsid w:val="00A6166B"/>
    <w:rsid w:val="00A64AE2"/>
    <w:rsid w:val="00A76137"/>
    <w:rsid w:val="00A87FAA"/>
    <w:rsid w:val="00A90E0C"/>
    <w:rsid w:val="00A9137A"/>
    <w:rsid w:val="00A91CA7"/>
    <w:rsid w:val="00AA3E6B"/>
    <w:rsid w:val="00AB45A7"/>
    <w:rsid w:val="00AC270C"/>
    <w:rsid w:val="00AC6CD0"/>
    <w:rsid w:val="00AD2715"/>
    <w:rsid w:val="00AD5E3A"/>
    <w:rsid w:val="00AE1B05"/>
    <w:rsid w:val="00AE20E4"/>
    <w:rsid w:val="00AE6ABD"/>
    <w:rsid w:val="00AE7E37"/>
    <w:rsid w:val="00AF2B53"/>
    <w:rsid w:val="00AF34AF"/>
    <w:rsid w:val="00AF3506"/>
    <w:rsid w:val="00AF4FC1"/>
    <w:rsid w:val="00AF5D19"/>
    <w:rsid w:val="00B15E3A"/>
    <w:rsid w:val="00B17A1D"/>
    <w:rsid w:val="00B17B6E"/>
    <w:rsid w:val="00B23D62"/>
    <w:rsid w:val="00B240A1"/>
    <w:rsid w:val="00B27315"/>
    <w:rsid w:val="00B452EB"/>
    <w:rsid w:val="00B45ABA"/>
    <w:rsid w:val="00B45E60"/>
    <w:rsid w:val="00B7073D"/>
    <w:rsid w:val="00B853C5"/>
    <w:rsid w:val="00BA343B"/>
    <w:rsid w:val="00BB24C0"/>
    <w:rsid w:val="00BB52C0"/>
    <w:rsid w:val="00BB6C1F"/>
    <w:rsid w:val="00BD0B37"/>
    <w:rsid w:val="00BE4849"/>
    <w:rsid w:val="00BF10C6"/>
    <w:rsid w:val="00BF46DC"/>
    <w:rsid w:val="00C056E8"/>
    <w:rsid w:val="00C13BFE"/>
    <w:rsid w:val="00C22933"/>
    <w:rsid w:val="00C24BAE"/>
    <w:rsid w:val="00C471A9"/>
    <w:rsid w:val="00C526E1"/>
    <w:rsid w:val="00C53A4F"/>
    <w:rsid w:val="00C575FF"/>
    <w:rsid w:val="00C63EAF"/>
    <w:rsid w:val="00C65F08"/>
    <w:rsid w:val="00C7213E"/>
    <w:rsid w:val="00C7498C"/>
    <w:rsid w:val="00CA1ECE"/>
    <w:rsid w:val="00CB0B46"/>
    <w:rsid w:val="00CB0EE1"/>
    <w:rsid w:val="00CC01C7"/>
    <w:rsid w:val="00CC7FDD"/>
    <w:rsid w:val="00CE449F"/>
    <w:rsid w:val="00CF3F73"/>
    <w:rsid w:val="00CF4024"/>
    <w:rsid w:val="00CF5F92"/>
    <w:rsid w:val="00CF7448"/>
    <w:rsid w:val="00D00824"/>
    <w:rsid w:val="00D01874"/>
    <w:rsid w:val="00D01937"/>
    <w:rsid w:val="00D1540C"/>
    <w:rsid w:val="00D23043"/>
    <w:rsid w:val="00D266FF"/>
    <w:rsid w:val="00D302CE"/>
    <w:rsid w:val="00D32A92"/>
    <w:rsid w:val="00D32BA4"/>
    <w:rsid w:val="00D370B1"/>
    <w:rsid w:val="00D405AB"/>
    <w:rsid w:val="00D6647A"/>
    <w:rsid w:val="00D73480"/>
    <w:rsid w:val="00D84B28"/>
    <w:rsid w:val="00D86F67"/>
    <w:rsid w:val="00DA35AE"/>
    <w:rsid w:val="00DA69B4"/>
    <w:rsid w:val="00DB1C78"/>
    <w:rsid w:val="00DB2E1F"/>
    <w:rsid w:val="00DB7B81"/>
    <w:rsid w:val="00DC4DF1"/>
    <w:rsid w:val="00DD591E"/>
    <w:rsid w:val="00DE17E0"/>
    <w:rsid w:val="00DE5563"/>
    <w:rsid w:val="00DF3D82"/>
    <w:rsid w:val="00DF57CC"/>
    <w:rsid w:val="00DF5E0D"/>
    <w:rsid w:val="00DF76F8"/>
    <w:rsid w:val="00E10FC8"/>
    <w:rsid w:val="00E11ED5"/>
    <w:rsid w:val="00E12838"/>
    <w:rsid w:val="00E14613"/>
    <w:rsid w:val="00E203D9"/>
    <w:rsid w:val="00E22BB5"/>
    <w:rsid w:val="00E2660A"/>
    <w:rsid w:val="00E26E01"/>
    <w:rsid w:val="00E36175"/>
    <w:rsid w:val="00E37796"/>
    <w:rsid w:val="00E37F39"/>
    <w:rsid w:val="00E449B0"/>
    <w:rsid w:val="00E46B07"/>
    <w:rsid w:val="00E46BE7"/>
    <w:rsid w:val="00E47A1A"/>
    <w:rsid w:val="00E6086D"/>
    <w:rsid w:val="00E7372B"/>
    <w:rsid w:val="00E82410"/>
    <w:rsid w:val="00E8354D"/>
    <w:rsid w:val="00E94583"/>
    <w:rsid w:val="00EA6D51"/>
    <w:rsid w:val="00EA7D9E"/>
    <w:rsid w:val="00EB33E5"/>
    <w:rsid w:val="00EB63B6"/>
    <w:rsid w:val="00EC4652"/>
    <w:rsid w:val="00ED02FF"/>
    <w:rsid w:val="00ED6877"/>
    <w:rsid w:val="00EE0AE7"/>
    <w:rsid w:val="00EF2D3C"/>
    <w:rsid w:val="00EF3CB3"/>
    <w:rsid w:val="00F125FB"/>
    <w:rsid w:val="00F2595C"/>
    <w:rsid w:val="00F25CBD"/>
    <w:rsid w:val="00F33B2B"/>
    <w:rsid w:val="00F342DD"/>
    <w:rsid w:val="00F352F8"/>
    <w:rsid w:val="00F576CF"/>
    <w:rsid w:val="00F65027"/>
    <w:rsid w:val="00F67F27"/>
    <w:rsid w:val="00F77F80"/>
    <w:rsid w:val="00F8480F"/>
    <w:rsid w:val="00F85BBD"/>
    <w:rsid w:val="00F90616"/>
    <w:rsid w:val="00FA1439"/>
    <w:rsid w:val="00FB355E"/>
    <w:rsid w:val="00FB5E00"/>
    <w:rsid w:val="00FB6827"/>
    <w:rsid w:val="00FC093D"/>
    <w:rsid w:val="00FC5DA1"/>
    <w:rsid w:val="00FC62E9"/>
    <w:rsid w:val="00FD66C9"/>
    <w:rsid w:val="00FF0D04"/>
    <w:rsid w:val="26FF38F2"/>
    <w:rsid w:val="4AC868B8"/>
    <w:rsid w:val="4C765202"/>
    <w:rsid w:val="5F7FEBD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ocked="1"/>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link w:val="7"/>
    <w:semiHidden/>
    <w:locked/>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link w:val="12"/>
    <w:qFormat/>
    <w:uiPriority w:val="99"/>
    <w:pPr>
      <w:widowControl/>
      <w:spacing w:before="100" w:beforeAutospacing="1" w:after="100" w:afterAutospacing="1"/>
      <w:jc w:val="left"/>
    </w:pPr>
    <w:rPr>
      <w:rFonts w:ascii="宋体" w:hAnsi="宋体" w:cs="宋体"/>
      <w:kern w:val="0"/>
      <w:sz w:val="24"/>
      <w:szCs w:val="24"/>
    </w:rPr>
  </w:style>
  <w:style w:type="paragraph" w:customStyle="1" w:styleId="7">
    <w:name w:val="Char"/>
    <w:basedOn w:val="1"/>
    <w:link w:val="6"/>
    <w:uiPriority w:val="99"/>
    <w:pPr>
      <w:widowControl/>
      <w:spacing w:after="160" w:line="240" w:lineRule="exact"/>
      <w:jc w:val="left"/>
    </w:pPr>
    <w:rPr>
      <w:rFonts w:ascii="Verdana" w:hAnsi="Verdana" w:cs="Verdana"/>
      <w:kern w:val="0"/>
      <w:sz w:val="18"/>
      <w:szCs w:val="18"/>
      <w:lang w:eastAsia="en-US"/>
    </w:rPr>
  </w:style>
  <w:style w:type="character" w:styleId="8">
    <w:name w:val="page number"/>
    <w:basedOn w:val="6"/>
    <w:qFormat/>
    <w:uiPriority w:val="99"/>
  </w:style>
  <w:style w:type="character" w:customStyle="1" w:styleId="9">
    <w:name w:val="Footer Char"/>
    <w:basedOn w:val="6"/>
    <w:link w:val="2"/>
    <w:semiHidden/>
    <w:qFormat/>
    <w:locked/>
    <w:uiPriority w:val="99"/>
    <w:rPr>
      <w:sz w:val="18"/>
      <w:szCs w:val="18"/>
    </w:rPr>
  </w:style>
  <w:style w:type="character" w:customStyle="1" w:styleId="10">
    <w:name w:val="Header Char"/>
    <w:basedOn w:val="6"/>
    <w:link w:val="3"/>
    <w:semiHidden/>
    <w:qFormat/>
    <w:locked/>
    <w:uiPriority w:val="99"/>
    <w:rPr>
      <w:sz w:val="18"/>
      <w:szCs w:val="18"/>
    </w:rPr>
  </w:style>
  <w:style w:type="paragraph" w:customStyle="1" w:styleId="11">
    <w:name w:val="Char1 Char Char Char"/>
    <w:basedOn w:val="1"/>
    <w:qFormat/>
    <w:uiPriority w:val="99"/>
    <w:rPr>
      <w:rFonts w:ascii="Tahoma" w:hAnsi="Tahoma" w:cs="Tahoma"/>
      <w:sz w:val="24"/>
      <w:szCs w:val="24"/>
    </w:rPr>
  </w:style>
  <w:style w:type="character" w:customStyle="1" w:styleId="12">
    <w:name w:val="Normal (Web) Char"/>
    <w:link w:val="4"/>
    <w:qFormat/>
    <w:locked/>
    <w:uiPriority w:val="99"/>
    <w:rPr>
      <w:rFonts w:ascii="宋体" w:hAnsi="宋体" w:eastAsia="宋体" w:cs="宋体"/>
      <w:sz w:val="24"/>
      <w:szCs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Hewlett-Packard Company</Company>
  <Pages>15</Pages>
  <Words>1012</Words>
  <Characters>5772</Characters>
  <Lines>0</Lines>
  <Paragraphs>0</Paragraphs>
  <TotalTime>9</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2016-09-06T16:00:00Z</dcterms:created>
  <dc:creator>lenovo</dc:creator>
  <cp:lastModifiedBy>user</cp:lastModifiedBy>
  <cp:lastPrinted>2017-03-28T12:42:00Z</cp:lastPrinted>
  <dcterms:modified xsi:type="dcterms:W3CDTF">2022-06-01T16:15:34Z</dcterms:modified>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