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3CE" w:rsidRPr="00A953CE" w:rsidRDefault="00A953CE" w:rsidP="00A953CE">
      <w:pPr>
        <w:snapToGrid w:val="0"/>
        <w:spacing w:line="580" w:lineRule="exact"/>
        <w:jc w:val="center"/>
        <w:rPr>
          <w:rFonts w:asciiTheme="majorEastAsia" w:eastAsiaTheme="majorEastAsia" w:hAnsiTheme="majorEastAsia"/>
          <w:sz w:val="32"/>
          <w:szCs w:val="32"/>
        </w:rPr>
      </w:pPr>
    </w:p>
    <w:p w:rsidR="00A953CE" w:rsidRPr="00A953CE" w:rsidRDefault="00A953CE" w:rsidP="00A953CE">
      <w:pPr>
        <w:snapToGrid w:val="0"/>
        <w:spacing w:line="580" w:lineRule="exact"/>
        <w:jc w:val="center"/>
        <w:rPr>
          <w:rFonts w:asciiTheme="majorEastAsia" w:eastAsiaTheme="majorEastAsia" w:hAnsiTheme="majorEastAsia"/>
          <w:sz w:val="32"/>
          <w:szCs w:val="32"/>
        </w:rPr>
      </w:pPr>
    </w:p>
    <w:p w:rsidR="00085C38" w:rsidRDefault="00085C38" w:rsidP="00A953CE">
      <w:pPr>
        <w:snapToGrid w:val="0"/>
        <w:spacing w:line="580" w:lineRule="exact"/>
        <w:jc w:val="center"/>
        <w:rPr>
          <w:rFonts w:asciiTheme="majorEastAsia" w:eastAsiaTheme="majorEastAsia" w:hAnsiTheme="majorEastAsia" w:hint="eastAsia"/>
          <w:sz w:val="44"/>
          <w:szCs w:val="44"/>
        </w:rPr>
      </w:pPr>
      <w:r w:rsidRPr="00A953CE">
        <w:rPr>
          <w:rFonts w:asciiTheme="majorEastAsia" w:eastAsiaTheme="majorEastAsia" w:hAnsiTheme="majorEastAsia" w:hint="eastAsia"/>
          <w:sz w:val="44"/>
          <w:szCs w:val="44"/>
        </w:rPr>
        <w:t>宜宾市翠屏山保护条例</w:t>
      </w:r>
    </w:p>
    <w:p w:rsidR="008C01F8" w:rsidRPr="008C01F8" w:rsidRDefault="008C01F8" w:rsidP="00A953CE">
      <w:pPr>
        <w:snapToGrid w:val="0"/>
        <w:spacing w:line="580" w:lineRule="exact"/>
        <w:jc w:val="center"/>
        <w:rPr>
          <w:rFonts w:asciiTheme="majorEastAsia" w:eastAsiaTheme="majorEastAsia" w:hAnsiTheme="majorEastAsia"/>
          <w:sz w:val="32"/>
          <w:szCs w:val="32"/>
        </w:rPr>
      </w:pPr>
    </w:p>
    <w:p w:rsidR="00085C38" w:rsidRPr="00A953CE" w:rsidRDefault="00A953CE" w:rsidP="00A953CE">
      <w:pPr>
        <w:snapToGrid w:val="0"/>
        <w:spacing w:line="580" w:lineRule="exact"/>
        <w:ind w:leftChars="300" w:left="630" w:rightChars="300" w:right="630"/>
        <w:jc w:val="left"/>
        <w:rPr>
          <w:rFonts w:ascii="楷体_GB2312" w:eastAsia="楷体_GB2312" w:hAnsi="楷体"/>
          <w:sz w:val="32"/>
          <w:szCs w:val="32"/>
        </w:rPr>
      </w:pPr>
      <w:r>
        <w:rPr>
          <w:rFonts w:ascii="楷体_GB2312" w:eastAsia="楷体_GB2312" w:hAnsi="楷体" w:hint="eastAsia"/>
          <w:sz w:val="32"/>
          <w:szCs w:val="32"/>
        </w:rPr>
        <w:t>（</w:t>
      </w:r>
      <w:r w:rsidR="00085C38" w:rsidRPr="00A953CE">
        <w:rPr>
          <w:rFonts w:ascii="楷体_GB2312" w:eastAsia="楷体_GB2312" w:hAnsi="楷体" w:hint="eastAsia"/>
          <w:sz w:val="32"/>
          <w:szCs w:val="32"/>
        </w:rPr>
        <w:t>2017年10月20日宜宾市第五届人民代表大会常务委员会第七次会议通过</w:t>
      </w:r>
      <w:r>
        <w:rPr>
          <w:rFonts w:ascii="楷体_GB2312" w:eastAsia="楷体_GB2312" w:hAnsi="楷体" w:hint="eastAsia"/>
          <w:sz w:val="32"/>
          <w:szCs w:val="32"/>
        </w:rPr>
        <w:t xml:space="preserve">  </w:t>
      </w:r>
      <w:r w:rsidR="00085C38" w:rsidRPr="00A953CE">
        <w:rPr>
          <w:rFonts w:ascii="楷体_GB2312" w:eastAsia="楷体_GB2312" w:hAnsi="楷体" w:hint="eastAsia"/>
          <w:sz w:val="32"/>
          <w:szCs w:val="32"/>
        </w:rPr>
        <w:t>2017年 12月1日四川省第十二届人民代表大会常务委员会第三十七次会议批准</w:t>
      </w:r>
      <w:r>
        <w:rPr>
          <w:rFonts w:ascii="楷体_GB2312" w:eastAsia="楷体_GB2312" w:hAnsi="楷体" w:hint="eastAsia"/>
          <w:sz w:val="32"/>
          <w:szCs w:val="32"/>
        </w:rPr>
        <w:t>）</w:t>
      </w:r>
    </w:p>
    <w:p w:rsidR="00085C38" w:rsidRPr="00A953CE" w:rsidRDefault="00085C38" w:rsidP="00A953CE">
      <w:pPr>
        <w:snapToGrid w:val="0"/>
        <w:spacing w:line="580" w:lineRule="exact"/>
        <w:ind w:leftChars="300" w:left="630" w:rightChars="300" w:right="630"/>
        <w:jc w:val="center"/>
        <w:rPr>
          <w:rFonts w:ascii="楷体_GB2312" w:eastAsia="楷体_GB2312" w:hAnsi="楷体"/>
          <w:sz w:val="32"/>
          <w:szCs w:val="32"/>
        </w:rPr>
      </w:pPr>
    </w:p>
    <w:p w:rsidR="00085C38" w:rsidRPr="00A953CE" w:rsidRDefault="00085C38" w:rsidP="00A953CE">
      <w:pPr>
        <w:spacing w:line="580" w:lineRule="exact"/>
        <w:ind w:firstLineChars="200" w:firstLine="640"/>
        <w:jc w:val="center"/>
        <w:rPr>
          <w:rFonts w:ascii="黑体" w:eastAsia="黑体" w:hAnsi="黑体"/>
          <w:sz w:val="32"/>
          <w:szCs w:val="32"/>
        </w:rPr>
      </w:pPr>
      <w:r w:rsidRPr="00A953CE">
        <w:rPr>
          <w:rFonts w:ascii="黑体" w:eastAsia="黑体" w:hAnsi="黑体" w:hint="eastAsia"/>
          <w:sz w:val="32"/>
          <w:szCs w:val="32"/>
        </w:rPr>
        <w:t>第一章  总  则</w:t>
      </w:r>
    </w:p>
    <w:p w:rsidR="00085C38" w:rsidRPr="00A953CE" w:rsidRDefault="00085C38" w:rsidP="00A953CE">
      <w:pPr>
        <w:spacing w:line="580" w:lineRule="exact"/>
        <w:ind w:firstLineChars="200" w:firstLine="640"/>
        <w:jc w:val="left"/>
        <w:rPr>
          <w:rFonts w:ascii="仿宋_GB2312" w:eastAsia="仿宋_GB2312" w:hAnsi="仿宋"/>
          <w:sz w:val="32"/>
          <w:szCs w:val="32"/>
        </w:rPr>
      </w:pPr>
      <w:bookmarkStart w:id="0" w:name="_GoBack"/>
      <w:bookmarkEnd w:id="0"/>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黑体" w:eastAsia="黑体" w:hAnsi="黑体" w:hint="eastAsia"/>
          <w:sz w:val="32"/>
          <w:szCs w:val="32"/>
        </w:rPr>
        <w:t>第一条</w:t>
      </w:r>
      <w:r w:rsidRPr="00A953CE">
        <w:rPr>
          <w:rFonts w:ascii="仿宋_GB2312" w:eastAsia="仿宋_GB2312" w:hAnsi="仿宋" w:hint="eastAsia"/>
          <w:sz w:val="32"/>
          <w:szCs w:val="32"/>
        </w:rPr>
        <w:t xml:space="preserve">  为了保护</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屏山生态环境，合理利用</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屏山自然资源、人文资源，改善人居环境，促进生态文明建设和经济社会可持续发展，依据有关法律法规，结合宜宾市实际，制定本条例。</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黑体" w:hAnsi="仿宋" w:hint="eastAsia"/>
          <w:sz w:val="32"/>
          <w:szCs w:val="32"/>
        </w:rPr>
        <w:t>第二条</w:t>
      </w:r>
      <w:r w:rsidRPr="00A953CE">
        <w:rPr>
          <w:rFonts w:ascii="仿宋_GB2312" w:eastAsia="仿宋_GB2312" w:hAnsi="仿宋" w:hint="eastAsia"/>
          <w:sz w:val="32"/>
          <w:szCs w:val="32"/>
        </w:rPr>
        <w:t xml:space="preserve">  </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屏山的规划、建设、保护和管理，适用本条例。</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黑体" w:hAnsi="仿宋" w:hint="eastAsia"/>
          <w:sz w:val="32"/>
          <w:szCs w:val="32"/>
        </w:rPr>
        <w:t>第三条</w:t>
      </w:r>
      <w:r w:rsidRPr="00A953CE">
        <w:rPr>
          <w:rFonts w:ascii="仿宋_GB2312" w:eastAsia="仿宋_GB2312" w:hAnsi="仿宋" w:hint="eastAsia"/>
          <w:sz w:val="32"/>
          <w:szCs w:val="32"/>
        </w:rPr>
        <w:t xml:space="preserve">  本条例所称</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屏山，是指依据</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屏山总体规划界定，主要包含</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屏山山体和真武山山体两个区域。</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其区域界限由市人民政府依据经批准的翠屏山总体规划划定，设置界标，予以公告。</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黑体" w:hAnsi="仿宋" w:hint="eastAsia"/>
          <w:sz w:val="32"/>
          <w:szCs w:val="32"/>
        </w:rPr>
        <w:t>第四条</w:t>
      </w:r>
      <w:r w:rsidRPr="00A953CE">
        <w:rPr>
          <w:rFonts w:ascii="仿宋_GB2312" w:eastAsia="仿宋_GB2312" w:hAnsi="仿宋" w:hint="eastAsia"/>
          <w:sz w:val="32"/>
          <w:szCs w:val="32"/>
        </w:rPr>
        <w:t xml:space="preserve">  </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屏山的保护坚持科学规划、统一管理、永续利用和公众参与的原则。</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黑体" w:hAnsi="仿宋" w:hint="eastAsia"/>
          <w:sz w:val="32"/>
          <w:szCs w:val="32"/>
        </w:rPr>
        <w:t>第五条</w:t>
      </w:r>
      <w:r w:rsidRPr="00A953CE">
        <w:rPr>
          <w:rFonts w:ascii="仿宋_GB2312" w:eastAsia="仿宋_GB2312" w:hAnsi="仿宋" w:hint="eastAsia"/>
          <w:sz w:val="32"/>
          <w:szCs w:val="32"/>
        </w:rPr>
        <w:t xml:space="preserve">  市人民政府统一领导</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屏山保护管理工作，负责</w:t>
      </w:r>
      <w:r w:rsidRPr="00A953CE">
        <w:rPr>
          <w:rFonts w:ascii="仿宋_GB2312" w:eastAsia="仿宋_GB2312" w:hAnsi="仿宋" w:hint="eastAsia"/>
          <w:sz w:val="32"/>
          <w:szCs w:val="32"/>
        </w:rPr>
        <w:lastRenderedPageBreak/>
        <w:t>决定</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屏山保护管理工作中的重大事项。</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市人民政府应当建立协调机制，对翠屏山规划、建设、保护和管理工作中需要统筹解决的事项进行协调。</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黑体" w:hAnsi="仿宋" w:hint="eastAsia"/>
          <w:sz w:val="32"/>
          <w:szCs w:val="32"/>
        </w:rPr>
        <w:t>第六条</w:t>
      </w:r>
      <w:r w:rsidR="00A953CE">
        <w:rPr>
          <w:rFonts w:ascii="仿宋_GB2312" w:eastAsia="仿宋_GB2312" w:hAnsi="仿宋" w:hint="eastAsia"/>
          <w:sz w:val="32"/>
          <w:szCs w:val="32"/>
        </w:rPr>
        <w:t xml:space="preserve">  </w:t>
      </w:r>
      <w:r w:rsidRPr="00A953CE">
        <w:rPr>
          <w:rFonts w:ascii="仿宋_GB2312" w:eastAsia="仿宋_GB2312" w:hAnsi="仿宋" w:hint="eastAsia"/>
          <w:sz w:val="32"/>
          <w:szCs w:val="32"/>
        </w:rPr>
        <w:t>翠屏区人民政府是翠屏山保护管理工作的责任主体，翠屏山保护管理机构具体负责</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屏山的保护和管理工作。</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市级有关部门应当按照各自职责，配合</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屏山保护管理机构，共同做好</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屏山保护管理工作。</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黑体" w:hAnsi="仿宋" w:hint="eastAsia"/>
          <w:sz w:val="32"/>
          <w:szCs w:val="32"/>
        </w:rPr>
        <w:t>第七条</w:t>
      </w:r>
      <w:r w:rsidRPr="00A953CE">
        <w:rPr>
          <w:rFonts w:ascii="仿宋_GB2312" w:eastAsia="仿宋_GB2312" w:hAnsi="仿宋" w:hint="eastAsia"/>
          <w:sz w:val="32"/>
          <w:szCs w:val="32"/>
        </w:rPr>
        <w:t xml:space="preserve">  </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屏山的规划、建设、保护和管理经费纳入翠屏区人民政府财政预算。</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黑体" w:hAnsi="仿宋" w:hint="eastAsia"/>
          <w:sz w:val="32"/>
          <w:szCs w:val="32"/>
        </w:rPr>
        <w:t>第八条</w:t>
      </w:r>
      <w:r w:rsidRPr="00A953CE">
        <w:rPr>
          <w:rFonts w:ascii="仿宋_GB2312" w:eastAsia="仿宋_GB2312" w:hAnsi="仿宋" w:hint="eastAsia"/>
          <w:sz w:val="32"/>
          <w:szCs w:val="32"/>
        </w:rPr>
        <w:t xml:space="preserve">  鼓励自然人、法人和非法人组织参与</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屏山保护工作。任何单位和个人有权制止、举报破坏</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屏山生态环境、文物古迹和公共设施的行为。</w:t>
      </w:r>
    </w:p>
    <w:p w:rsidR="00085C38" w:rsidRPr="00A953CE" w:rsidRDefault="00085C38" w:rsidP="00A953CE">
      <w:pPr>
        <w:spacing w:line="580" w:lineRule="exact"/>
        <w:ind w:firstLineChars="200" w:firstLine="640"/>
        <w:jc w:val="left"/>
        <w:rPr>
          <w:rFonts w:ascii="仿宋_GB2312" w:eastAsia="仿宋_GB2312" w:hAnsi="仿宋"/>
          <w:sz w:val="32"/>
          <w:szCs w:val="32"/>
        </w:rPr>
      </w:pPr>
    </w:p>
    <w:p w:rsidR="00085C38" w:rsidRPr="00A953CE" w:rsidRDefault="00085C38" w:rsidP="00A953CE">
      <w:pPr>
        <w:spacing w:line="580" w:lineRule="exact"/>
        <w:ind w:firstLineChars="200" w:firstLine="640"/>
        <w:jc w:val="center"/>
        <w:rPr>
          <w:rFonts w:ascii="仿宋_GB2312" w:eastAsia="黑体" w:hAnsi="仿宋"/>
          <w:sz w:val="32"/>
          <w:szCs w:val="32"/>
        </w:rPr>
      </w:pPr>
      <w:r w:rsidRPr="00A953CE">
        <w:rPr>
          <w:rFonts w:ascii="仿宋_GB2312" w:eastAsia="黑体" w:hAnsi="仿宋" w:hint="eastAsia"/>
          <w:sz w:val="32"/>
          <w:szCs w:val="32"/>
        </w:rPr>
        <w:t xml:space="preserve">第二章　</w:t>
      </w:r>
      <w:proofErr w:type="gramStart"/>
      <w:r w:rsidRPr="00A953CE">
        <w:rPr>
          <w:rFonts w:ascii="仿宋_GB2312" w:eastAsia="黑体" w:hAnsi="仿宋" w:hint="eastAsia"/>
          <w:sz w:val="32"/>
          <w:szCs w:val="32"/>
        </w:rPr>
        <w:t>规</w:t>
      </w:r>
      <w:proofErr w:type="gramEnd"/>
      <w:r w:rsidRPr="00A953CE">
        <w:rPr>
          <w:rFonts w:ascii="仿宋_GB2312" w:eastAsia="黑体" w:hAnsi="仿宋" w:hint="eastAsia"/>
          <w:sz w:val="32"/>
          <w:szCs w:val="32"/>
        </w:rPr>
        <w:t xml:space="preserve">  </w:t>
      </w:r>
      <w:r w:rsidRPr="00A953CE">
        <w:rPr>
          <w:rFonts w:ascii="仿宋_GB2312" w:eastAsia="黑体" w:hAnsi="仿宋" w:hint="eastAsia"/>
          <w:sz w:val="32"/>
          <w:szCs w:val="32"/>
        </w:rPr>
        <w:t>划</w:t>
      </w:r>
    </w:p>
    <w:p w:rsidR="00085C38" w:rsidRPr="00A953CE" w:rsidRDefault="00085C38" w:rsidP="00A953CE">
      <w:pPr>
        <w:spacing w:line="580" w:lineRule="exact"/>
        <w:ind w:firstLineChars="200" w:firstLine="640"/>
        <w:jc w:val="left"/>
        <w:rPr>
          <w:rFonts w:ascii="仿宋_GB2312" w:eastAsia="黑体" w:hAnsi="仿宋"/>
          <w:sz w:val="32"/>
          <w:szCs w:val="32"/>
        </w:rPr>
      </w:pP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黑体" w:hAnsi="仿宋" w:hint="eastAsia"/>
          <w:sz w:val="32"/>
          <w:szCs w:val="32"/>
        </w:rPr>
        <w:t>第九条</w:t>
      </w:r>
      <w:r w:rsidR="00A953CE">
        <w:rPr>
          <w:rFonts w:ascii="仿宋_GB2312" w:eastAsia="仿宋_GB2312" w:hAnsi="仿宋" w:hint="eastAsia"/>
          <w:sz w:val="32"/>
          <w:szCs w:val="32"/>
        </w:rPr>
        <w:t xml:space="preserve">  </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 xml:space="preserve">屏山总体规划应当坚持有利于保护和改善生态环境、可持续利用的原则，并符合下列要求： </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 xml:space="preserve">（一）保护森林植被、促进生态平衡； </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 xml:space="preserve">（二）以自然景观为主，控制人造景点的设置； </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（三）限制永久性设施的建设。</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黑体" w:hAnsi="仿宋" w:hint="eastAsia"/>
          <w:sz w:val="32"/>
          <w:szCs w:val="32"/>
        </w:rPr>
        <w:t>第十条</w:t>
      </w:r>
      <w:r w:rsidRPr="00A953CE">
        <w:rPr>
          <w:rFonts w:ascii="仿宋_GB2312" w:eastAsia="仿宋_GB2312" w:hAnsi="仿宋" w:hint="eastAsia"/>
          <w:sz w:val="32"/>
          <w:szCs w:val="32"/>
        </w:rPr>
        <w:t xml:space="preserve">  </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屏山规划分为总体规划和详细规划。</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市规划行政主管部门会同翠屏区人民政府及市级有关职能</w:t>
      </w:r>
      <w:r w:rsidRPr="00A953CE">
        <w:rPr>
          <w:rFonts w:ascii="仿宋_GB2312" w:eastAsia="仿宋_GB2312" w:hAnsi="仿宋" w:hint="eastAsia"/>
          <w:sz w:val="32"/>
          <w:szCs w:val="32"/>
        </w:rPr>
        <w:lastRenderedPageBreak/>
        <w:t>部门，编制</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屏山总体规划和详细规划。</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屏山总体规划和详细规划应当与宜宾市城市总体规划及土地利用总体规划相衔接。</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规划报送审批前，市规划行政主管部门应当采取论证会、听证会或者其他方式征求社会和公众的意见。</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黑体" w:hAnsi="仿宋" w:hint="eastAsia"/>
          <w:sz w:val="32"/>
          <w:szCs w:val="32"/>
        </w:rPr>
        <w:t>第十一条</w:t>
      </w:r>
      <w:r w:rsidRPr="00A953CE">
        <w:rPr>
          <w:rFonts w:ascii="仿宋_GB2312" w:eastAsia="仿宋_GB2312" w:hAnsi="仿宋" w:hint="eastAsia"/>
          <w:sz w:val="32"/>
          <w:szCs w:val="32"/>
        </w:rPr>
        <w:t xml:space="preserve">  市人民政府批准</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屏山总体规划前，应当将规划制定情况向市人民代表大会常务委员会报告。</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市人民政府批准</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屏山总体规划、控制性详细规划后，应当报市人民代表大会常务委员会备案，并向社会公布。</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黑体" w:hAnsi="仿宋" w:hint="eastAsia"/>
          <w:sz w:val="32"/>
          <w:szCs w:val="32"/>
        </w:rPr>
        <w:t>第十二条</w:t>
      </w:r>
      <w:r w:rsidRPr="00A953CE">
        <w:rPr>
          <w:rFonts w:ascii="仿宋_GB2312" w:eastAsia="仿宋_GB2312" w:hAnsi="仿宋" w:hint="eastAsia"/>
          <w:sz w:val="32"/>
          <w:szCs w:val="32"/>
        </w:rPr>
        <w:t xml:space="preserve">  经批准的翠屏山总体规划和详细规划不得擅自修改。确需修改的，应当按照原编制和批准程序办理。</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黑体" w:hAnsi="仿宋" w:hint="eastAsia"/>
          <w:sz w:val="32"/>
          <w:szCs w:val="32"/>
        </w:rPr>
        <w:t>第十三条</w:t>
      </w:r>
      <w:r w:rsidRPr="00A953CE">
        <w:rPr>
          <w:rFonts w:ascii="仿宋_GB2312" w:eastAsia="仿宋_GB2312" w:hAnsi="仿宋" w:hint="eastAsia"/>
          <w:sz w:val="32"/>
          <w:szCs w:val="32"/>
        </w:rPr>
        <w:t xml:space="preserve">  翠屏区人民政府应当按照规划要求依法对翠屏山内的居民、有关单位等实施搬迁。</w:t>
      </w:r>
    </w:p>
    <w:p w:rsidR="00085C38" w:rsidRPr="00A953CE" w:rsidRDefault="00085C38" w:rsidP="00A953CE">
      <w:pPr>
        <w:spacing w:line="580" w:lineRule="exact"/>
        <w:ind w:firstLineChars="200" w:firstLine="640"/>
        <w:jc w:val="left"/>
        <w:rPr>
          <w:rFonts w:ascii="仿宋_GB2312" w:eastAsia="仿宋_GB2312" w:hAnsi="仿宋"/>
          <w:sz w:val="32"/>
          <w:szCs w:val="32"/>
        </w:rPr>
      </w:pPr>
    </w:p>
    <w:p w:rsidR="00085C38" w:rsidRPr="00A953CE" w:rsidRDefault="00085C38" w:rsidP="00A953CE">
      <w:pPr>
        <w:spacing w:line="580" w:lineRule="exact"/>
        <w:ind w:firstLineChars="200" w:firstLine="640"/>
        <w:jc w:val="center"/>
        <w:rPr>
          <w:rFonts w:ascii="仿宋_GB2312" w:eastAsia="黑体" w:hAnsi="仿宋"/>
          <w:sz w:val="32"/>
          <w:szCs w:val="32"/>
        </w:rPr>
      </w:pPr>
      <w:r w:rsidRPr="00A953CE">
        <w:rPr>
          <w:rFonts w:ascii="仿宋_GB2312" w:eastAsia="黑体" w:hAnsi="仿宋" w:hint="eastAsia"/>
          <w:sz w:val="32"/>
          <w:szCs w:val="32"/>
        </w:rPr>
        <w:t>第三章</w:t>
      </w:r>
      <w:r w:rsidRPr="00A953CE">
        <w:rPr>
          <w:rFonts w:ascii="仿宋_GB2312" w:eastAsia="黑体" w:hAnsi="仿宋" w:hint="eastAsia"/>
          <w:sz w:val="32"/>
          <w:szCs w:val="32"/>
        </w:rPr>
        <w:t xml:space="preserve">  </w:t>
      </w:r>
      <w:r w:rsidRPr="00A953CE">
        <w:rPr>
          <w:rFonts w:ascii="仿宋_GB2312" w:eastAsia="黑体" w:hAnsi="仿宋" w:hint="eastAsia"/>
          <w:sz w:val="32"/>
          <w:szCs w:val="32"/>
        </w:rPr>
        <w:t>建</w:t>
      </w:r>
      <w:r w:rsidRPr="00A953CE">
        <w:rPr>
          <w:rFonts w:ascii="仿宋_GB2312" w:eastAsia="黑体" w:hAnsi="仿宋" w:hint="eastAsia"/>
          <w:sz w:val="32"/>
          <w:szCs w:val="32"/>
        </w:rPr>
        <w:t xml:space="preserve">  </w:t>
      </w:r>
      <w:r w:rsidRPr="00A953CE">
        <w:rPr>
          <w:rFonts w:ascii="仿宋_GB2312" w:eastAsia="黑体" w:hAnsi="仿宋" w:hint="eastAsia"/>
          <w:sz w:val="32"/>
          <w:szCs w:val="32"/>
        </w:rPr>
        <w:t>设</w:t>
      </w:r>
    </w:p>
    <w:p w:rsidR="00085C38" w:rsidRPr="00A953CE" w:rsidRDefault="00085C38" w:rsidP="00A953CE">
      <w:pPr>
        <w:spacing w:line="580" w:lineRule="exact"/>
        <w:ind w:firstLineChars="200" w:firstLine="640"/>
        <w:jc w:val="left"/>
        <w:rPr>
          <w:rFonts w:ascii="仿宋_GB2312" w:eastAsia="黑体" w:hAnsi="仿宋"/>
          <w:sz w:val="32"/>
          <w:szCs w:val="32"/>
        </w:rPr>
      </w:pP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黑体" w:hAnsi="仿宋" w:hint="eastAsia"/>
          <w:sz w:val="32"/>
          <w:szCs w:val="32"/>
        </w:rPr>
        <w:t>第十四条</w:t>
      </w:r>
      <w:r w:rsidR="00A953CE">
        <w:rPr>
          <w:rFonts w:ascii="仿宋_GB2312" w:eastAsia="仿宋_GB2312" w:hAnsi="仿宋" w:hint="eastAsia"/>
          <w:sz w:val="32"/>
          <w:szCs w:val="32"/>
        </w:rPr>
        <w:t xml:space="preserve">  </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屏山内应当限制工程建设。确因生态环境保护、基础设施配套和保护性维修需要进行建设的，应当符合总体规划和详细规划并按程序经市规划行政主管部门审核后，报市人民政府批准。</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黑体" w:hAnsi="仿宋" w:hint="eastAsia"/>
          <w:sz w:val="32"/>
          <w:szCs w:val="32"/>
        </w:rPr>
        <w:t>第十五条</w:t>
      </w:r>
      <w:r w:rsidRPr="00A953CE">
        <w:rPr>
          <w:rFonts w:ascii="仿宋_GB2312" w:eastAsia="仿宋_GB2312" w:hAnsi="仿宋" w:hint="eastAsia"/>
          <w:sz w:val="32"/>
          <w:szCs w:val="32"/>
        </w:rPr>
        <w:t xml:space="preserve">  </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屏山保护管理机构应当根据</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屏山总体规划和详细规划，完善休闲娱乐、游览观赏和防灾避险等基础设施，合理设置各类标志。</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黑体" w:hAnsi="仿宋" w:hint="eastAsia"/>
          <w:sz w:val="32"/>
          <w:szCs w:val="32"/>
        </w:rPr>
        <w:lastRenderedPageBreak/>
        <w:t>第十六条</w:t>
      </w:r>
      <w:r w:rsidRPr="00A953CE">
        <w:rPr>
          <w:rFonts w:ascii="仿宋_GB2312" w:eastAsia="仿宋_GB2312" w:hAnsi="仿宋" w:hint="eastAsia"/>
          <w:sz w:val="32"/>
          <w:szCs w:val="32"/>
        </w:rPr>
        <w:t xml:space="preserve">  </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屏山内的建设项目，应当按照法律、法规规定配套建设相应防治污染的设施，并与主体工程同时设计、同时施工、同时投入使用。</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黑体" w:hAnsi="仿宋" w:hint="eastAsia"/>
          <w:sz w:val="32"/>
          <w:szCs w:val="32"/>
        </w:rPr>
        <w:t>第十七条</w:t>
      </w:r>
      <w:r w:rsidRPr="00A953CE">
        <w:rPr>
          <w:rFonts w:ascii="仿宋_GB2312" w:eastAsia="仿宋_GB2312" w:hAnsi="仿宋" w:hint="eastAsia"/>
          <w:sz w:val="32"/>
          <w:szCs w:val="32"/>
        </w:rPr>
        <w:t xml:space="preserve">  </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屏山内的建设活动应当向有关主管部门提出申请，依法办理审批手续。</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通信基站、发射塔、气象观测站等基础设施建设，在办理审批手续前应当进行环境影响评价和地质灾害危险性评估。</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有关主管部门在</w:t>
      </w:r>
      <w:proofErr w:type="gramStart"/>
      <w:r w:rsidRPr="00A953CE">
        <w:rPr>
          <w:rFonts w:ascii="仿宋_GB2312" w:eastAsia="仿宋_GB2312" w:hAnsi="仿宋" w:hint="eastAsia"/>
          <w:sz w:val="32"/>
          <w:szCs w:val="32"/>
        </w:rPr>
        <w:t>作出</w:t>
      </w:r>
      <w:proofErr w:type="gramEnd"/>
      <w:r w:rsidRPr="00A953CE">
        <w:rPr>
          <w:rFonts w:ascii="仿宋_GB2312" w:eastAsia="仿宋_GB2312" w:hAnsi="仿宋" w:hint="eastAsia"/>
          <w:sz w:val="32"/>
          <w:szCs w:val="32"/>
        </w:rPr>
        <w:t>批准决定前，应当征求</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屏山保护管理机构的意见。</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黑体" w:hAnsi="仿宋" w:hint="eastAsia"/>
          <w:sz w:val="32"/>
          <w:szCs w:val="32"/>
        </w:rPr>
        <w:t>第十八条</w:t>
      </w:r>
      <w:r w:rsidRPr="00A953CE">
        <w:rPr>
          <w:rFonts w:ascii="仿宋_GB2312" w:eastAsia="仿宋_GB2312" w:hAnsi="仿宋" w:hint="eastAsia"/>
          <w:sz w:val="32"/>
          <w:szCs w:val="32"/>
        </w:rPr>
        <w:t xml:space="preserve">  在翠屏山内进行建设活动的，建设单位、施工单位应当对施工场地周围的自然和人文景观、森林植被等制定保护方案，经有关行政主管部门批准后实施。</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工程竣工后，应当及时清理施工场地，恢复植被和环境风貌。</w:t>
      </w:r>
    </w:p>
    <w:p w:rsidR="00085C38" w:rsidRPr="00A953CE" w:rsidRDefault="00085C38" w:rsidP="00A953CE">
      <w:pPr>
        <w:spacing w:line="580" w:lineRule="exact"/>
        <w:ind w:firstLineChars="200" w:firstLine="640"/>
        <w:jc w:val="left"/>
        <w:rPr>
          <w:rFonts w:ascii="仿宋_GB2312" w:eastAsia="仿宋_GB2312" w:hAnsi="仿宋"/>
          <w:sz w:val="32"/>
          <w:szCs w:val="32"/>
        </w:rPr>
      </w:pPr>
    </w:p>
    <w:p w:rsidR="00085C38" w:rsidRPr="00A953CE" w:rsidRDefault="00085C38" w:rsidP="00A953CE">
      <w:pPr>
        <w:spacing w:line="580" w:lineRule="exact"/>
        <w:ind w:firstLineChars="200" w:firstLine="640"/>
        <w:jc w:val="center"/>
        <w:rPr>
          <w:rFonts w:ascii="仿宋_GB2312" w:eastAsia="黑体" w:hAnsi="仿宋"/>
          <w:sz w:val="32"/>
          <w:szCs w:val="32"/>
        </w:rPr>
      </w:pPr>
      <w:r w:rsidRPr="00A953CE">
        <w:rPr>
          <w:rFonts w:ascii="仿宋_GB2312" w:eastAsia="黑体" w:hAnsi="仿宋" w:hint="eastAsia"/>
          <w:sz w:val="32"/>
          <w:szCs w:val="32"/>
        </w:rPr>
        <w:t>第四章　保</w:t>
      </w:r>
      <w:r w:rsidRPr="00A953CE">
        <w:rPr>
          <w:rFonts w:ascii="仿宋_GB2312" w:eastAsia="黑体" w:hAnsi="仿宋" w:hint="eastAsia"/>
          <w:sz w:val="32"/>
          <w:szCs w:val="32"/>
        </w:rPr>
        <w:t xml:space="preserve">  </w:t>
      </w:r>
      <w:r w:rsidRPr="00A953CE">
        <w:rPr>
          <w:rFonts w:ascii="仿宋_GB2312" w:eastAsia="黑体" w:hAnsi="仿宋" w:hint="eastAsia"/>
          <w:sz w:val="32"/>
          <w:szCs w:val="32"/>
        </w:rPr>
        <w:t>护</w:t>
      </w:r>
    </w:p>
    <w:p w:rsidR="00085C38" w:rsidRPr="00A953CE" w:rsidRDefault="00085C38" w:rsidP="00A953CE">
      <w:pPr>
        <w:spacing w:line="580" w:lineRule="exact"/>
        <w:ind w:firstLineChars="200" w:firstLine="640"/>
        <w:jc w:val="left"/>
        <w:rPr>
          <w:rFonts w:ascii="仿宋_GB2312" w:eastAsia="黑体" w:hAnsi="仿宋"/>
          <w:sz w:val="32"/>
          <w:szCs w:val="32"/>
        </w:rPr>
      </w:pP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黑体" w:hAnsi="仿宋" w:hint="eastAsia"/>
          <w:sz w:val="32"/>
          <w:szCs w:val="32"/>
        </w:rPr>
        <w:t>第十九条</w:t>
      </w:r>
      <w:r w:rsidRPr="00A953CE">
        <w:rPr>
          <w:rFonts w:ascii="仿宋_GB2312" w:eastAsia="仿宋_GB2312" w:hAnsi="仿宋" w:hint="eastAsia"/>
          <w:sz w:val="32"/>
          <w:szCs w:val="32"/>
        </w:rPr>
        <w:t xml:space="preserve">  翠屏区人民政府应当建立健全</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屏山保护管理工作制度，制定保护措施，落实保护责任制。</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黑体" w:hAnsi="仿宋" w:hint="eastAsia"/>
          <w:sz w:val="32"/>
          <w:szCs w:val="32"/>
        </w:rPr>
        <w:t>第二十条</w:t>
      </w:r>
      <w:r w:rsidRPr="00A953CE">
        <w:rPr>
          <w:rFonts w:ascii="仿宋_GB2312" w:eastAsia="仿宋_GB2312" w:hAnsi="仿宋" w:hint="eastAsia"/>
          <w:sz w:val="32"/>
          <w:szCs w:val="32"/>
        </w:rPr>
        <w:t xml:space="preserve">  </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屏山保护管理机构应当会同有关单位对翠屏山内自然资源和人文资源按照下列要求进行保护：</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（一）组织对森林植被、山形水体等生态系统信息进行记</w:t>
      </w:r>
      <w:r w:rsidRPr="00A953CE">
        <w:rPr>
          <w:rFonts w:ascii="仿宋_GB2312" w:eastAsia="仿宋_GB2312" w:hAnsi="仿宋" w:hint="eastAsia"/>
          <w:sz w:val="32"/>
          <w:szCs w:val="32"/>
        </w:rPr>
        <w:lastRenderedPageBreak/>
        <w:t>录，并采取有效措施保护生态系统；</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（二）建立碑碣、石刻、古建筑等文物古迹档案，并按照相关法律法规规定制定保护措施。</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黑体" w:hAnsi="仿宋" w:hint="eastAsia"/>
          <w:sz w:val="32"/>
          <w:szCs w:val="32"/>
        </w:rPr>
        <w:t>第二十一条</w:t>
      </w:r>
      <w:r w:rsidRPr="00A953CE">
        <w:rPr>
          <w:rFonts w:ascii="仿宋_GB2312" w:eastAsia="仿宋_GB2312" w:hAnsi="仿宋" w:hint="eastAsia"/>
          <w:sz w:val="32"/>
          <w:szCs w:val="32"/>
        </w:rPr>
        <w:t xml:space="preserve">  任何单位和个人不得破坏</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屏山的植被及采伐林木。</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确因建设、安全、病虫防治、自然灾害、更新和抚育等需要采伐林木的，应当依法报林业行政主管部门审核批准。符合补植条件的，应当及时补植。</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黑体" w:hAnsi="仿宋" w:hint="eastAsia"/>
          <w:sz w:val="32"/>
          <w:szCs w:val="32"/>
        </w:rPr>
        <w:t>第二十二条</w:t>
      </w:r>
      <w:r w:rsidRPr="00A953CE">
        <w:rPr>
          <w:rFonts w:ascii="仿宋_GB2312" w:eastAsia="仿宋_GB2312" w:hAnsi="仿宋" w:hint="eastAsia"/>
          <w:sz w:val="32"/>
          <w:szCs w:val="32"/>
        </w:rPr>
        <w:t xml:space="preserve">  林业行政主管部门应当督促指导</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屏山保护管理机构建立健全护林防火和植保制度，设置防火和植保设施及消防通道，做好封山育林、护林防火、防治有害生物等工作。</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林业行政主管部门应当会同</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屏山保护管理机构督促林区有关单位订立护林公约，划定护林责任区，建立</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屏山森林防火监测点和森林有害生物防控监测点。</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黑体" w:hAnsi="仿宋" w:hint="eastAsia"/>
          <w:sz w:val="32"/>
          <w:szCs w:val="32"/>
        </w:rPr>
        <w:t>第二十三条</w:t>
      </w:r>
      <w:r w:rsidRPr="00A953CE">
        <w:rPr>
          <w:rFonts w:ascii="仿宋_GB2312" w:eastAsia="仿宋_GB2312" w:hAnsi="仿宋" w:hint="eastAsia"/>
          <w:sz w:val="32"/>
          <w:szCs w:val="32"/>
        </w:rPr>
        <w:t xml:space="preserve">  山内有关单位、经营者及居民应当采取污染防治措施，确保垃圾处置、污水和烟气排放等符合国家和地方规定的标准。</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黑体" w:hAnsi="仿宋" w:hint="eastAsia"/>
          <w:sz w:val="32"/>
          <w:szCs w:val="32"/>
        </w:rPr>
        <w:t>第二十四条</w:t>
      </w:r>
      <w:r w:rsidRPr="00A953CE">
        <w:rPr>
          <w:rFonts w:ascii="仿宋_GB2312" w:eastAsia="仿宋_GB2312" w:hAnsi="仿宋" w:hint="eastAsia"/>
          <w:sz w:val="32"/>
          <w:szCs w:val="32"/>
        </w:rPr>
        <w:t xml:space="preserve">  任何单位和个人不得破坏</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屏山的生态环境，不得非法占用</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屏山的公共资源。</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山内有关单位、经营者、居民和游客应当爱护</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屏山的自然和人文景观、森林植被和各项设施。</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山内有关单位应当在核准的区域内依法开展活动。</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黑体" w:hAnsi="仿宋" w:hint="eastAsia"/>
          <w:sz w:val="32"/>
          <w:szCs w:val="32"/>
        </w:rPr>
        <w:lastRenderedPageBreak/>
        <w:t>第二十五条</w:t>
      </w:r>
      <w:r w:rsidRPr="00A953CE">
        <w:rPr>
          <w:rFonts w:ascii="仿宋_GB2312" w:eastAsia="仿宋_GB2312" w:hAnsi="仿宋" w:hint="eastAsia"/>
          <w:sz w:val="32"/>
          <w:szCs w:val="32"/>
        </w:rPr>
        <w:t xml:space="preserve">  </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屏山内禁止下列行为：</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（一）毁林开垦、找矿采矿、采石、挖沙、取土等活动，致使森林植被受到毁坏的；</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（二）非法猎捕、杀害野生动物以及其他妨碍野生动物生息繁衍的；</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（三）</w:t>
      </w:r>
      <w:proofErr w:type="gramStart"/>
      <w:r w:rsidRPr="00A953CE">
        <w:rPr>
          <w:rFonts w:ascii="仿宋_GB2312" w:eastAsia="仿宋_GB2312" w:hAnsi="仿宋" w:hint="eastAsia"/>
          <w:sz w:val="32"/>
          <w:szCs w:val="32"/>
        </w:rPr>
        <w:t>刻划</w:t>
      </w:r>
      <w:proofErr w:type="gramEnd"/>
      <w:r w:rsidRPr="00A953CE">
        <w:rPr>
          <w:rFonts w:ascii="仿宋_GB2312" w:eastAsia="仿宋_GB2312" w:hAnsi="仿宋" w:hint="eastAsia"/>
          <w:sz w:val="32"/>
          <w:szCs w:val="32"/>
        </w:rPr>
        <w:t>、污损树木、岩石和文物古迹的；</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（四）损毁或者擅自移动区域内公共服务设施、设备及各种标志的；</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（五）未达到环保要求排放废水、废气、固体废物及其他污染物的；</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（六）野外用火、燃放烟花爆竹、焚烧垃圾和秸秆的；</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（七）在吸烟区外吸烟，在非宗教活动场所焚烧香蜡纸烛的；</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（八）擅自摆摊设点、兜售物品的；</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（九）违法修建建筑物、构筑物和乱拉乱接电源线等管线的；</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（十）擅自采摘、采挖花草、树木、药材等植物的；</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（十一）随地吐痰、便溺及乱扔垃圾等不文明行为的；</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（十二）新建、改建、扩建坟墓的；</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（十三）擅自设置户外广告的；</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（十四）法律、法规禁止的其他活动。</w:t>
      </w:r>
    </w:p>
    <w:p w:rsidR="00085C38" w:rsidRPr="00A953CE" w:rsidRDefault="00085C38" w:rsidP="00A953CE">
      <w:pPr>
        <w:spacing w:line="580" w:lineRule="exact"/>
        <w:ind w:firstLineChars="200" w:firstLine="640"/>
        <w:jc w:val="left"/>
        <w:rPr>
          <w:rFonts w:ascii="仿宋_GB2312" w:eastAsia="仿宋_GB2312" w:hAnsi="仿宋"/>
          <w:sz w:val="32"/>
          <w:szCs w:val="32"/>
        </w:rPr>
      </w:pPr>
    </w:p>
    <w:p w:rsidR="00085C38" w:rsidRPr="00A953CE" w:rsidRDefault="00085C38" w:rsidP="00A953CE">
      <w:pPr>
        <w:spacing w:line="580" w:lineRule="exact"/>
        <w:ind w:firstLineChars="200" w:firstLine="640"/>
        <w:jc w:val="center"/>
        <w:rPr>
          <w:rFonts w:ascii="仿宋_GB2312" w:eastAsia="黑体" w:hAnsi="仿宋"/>
          <w:sz w:val="32"/>
          <w:szCs w:val="32"/>
        </w:rPr>
      </w:pPr>
      <w:r w:rsidRPr="00A953CE">
        <w:rPr>
          <w:rFonts w:ascii="仿宋_GB2312" w:eastAsia="黑体" w:hAnsi="仿宋" w:hint="eastAsia"/>
          <w:sz w:val="32"/>
          <w:szCs w:val="32"/>
        </w:rPr>
        <w:lastRenderedPageBreak/>
        <w:t>第五章　管</w:t>
      </w:r>
      <w:r w:rsidRPr="00A953CE">
        <w:rPr>
          <w:rFonts w:ascii="仿宋_GB2312" w:eastAsia="黑体" w:hAnsi="仿宋" w:hint="eastAsia"/>
          <w:sz w:val="32"/>
          <w:szCs w:val="32"/>
        </w:rPr>
        <w:t xml:space="preserve">  </w:t>
      </w:r>
      <w:r w:rsidRPr="00A953CE">
        <w:rPr>
          <w:rFonts w:ascii="仿宋_GB2312" w:eastAsia="黑体" w:hAnsi="仿宋" w:hint="eastAsia"/>
          <w:sz w:val="32"/>
          <w:szCs w:val="32"/>
        </w:rPr>
        <w:t>理</w:t>
      </w:r>
    </w:p>
    <w:p w:rsidR="00085C38" w:rsidRPr="00A953CE" w:rsidRDefault="00085C38" w:rsidP="00A953CE">
      <w:pPr>
        <w:spacing w:line="580" w:lineRule="exact"/>
        <w:ind w:firstLineChars="200" w:firstLine="640"/>
        <w:jc w:val="left"/>
        <w:rPr>
          <w:rFonts w:ascii="仿宋_GB2312" w:eastAsia="黑体" w:hAnsi="仿宋"/>
          <w:sz w:val="32"/>
          <w:szCs w:val="32"/>
        </w:rPr>
      </w:pP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黑体" w:hAnsi="仿宋" w:hint="eastAsia"/>
          <w:sz w:val="32"/>
          <w:szCs w:val="32"/>
        </w:rPr>
        <w:t>第二十六条</w:t>
      </w:r>
      <w:r w:rsidRPr="00A953CE">
        <w:rPr>
          <w:rFonts w:ascii="仿宋_GB2312" w:eastAsia="仿宋_GB2312" w:hAnsi="仿宋" w:hint="eastAsia"/>
          <w:sz w:val="32"/>
          <w:szCs w:val="32"/>
        </w:rPr>
        <w:t xml:space="preserve">  </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屏山保护管理机构应当加强安全管理，制定突发事件应急预案。</w:t>
      </w:r>
    </w:p>
    <w:p w:rsidR="00085C38" w:rsidRPr="00A953CE" w:rsidRDefault="00085C38" w:rsidP="00A953CE">
      <w:pPr>
        <w:spacing w:line="580" w:lineRule="exact"/>
        <w:ind w:firstLineChars="200" w:firstLine="640"/>
        <w:jc w:val="left"/>
        <w:rPr>
          <w:rFonts w:ascii="仿宋_GB2312" w:eastAsia="仿宋_GB2312" w:hAnsi="仿宋"/>
          <w:sz w:val="32"/>
          <w:szCs w:val="32"/>
        </w:rPr>
      </w:pP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屏山保护管理机构应当对交通工具、游乐设施、危险地段的安全保护设施确定安全责任人，并监督安全责任人定期进行安全检查，及时清除事故隐患。</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没有安全保障的区域，不得对公众开放。</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黑体" w:hAnsi="仿宋" w:hint="eastAsia"/>
          <w:sz w:val="32"/>
          <w:szCs w:val="32"/>
        </w:rPr>
        <w:t>第二十七条</w:t>
      </w:r>
      <w:r w:rsidRPr="00A953CE">
        <w:rPr>
          <w:rFonts w:ascii="仿宋_GB2312" w:eastAsia="仿宋_GB2312" w:hAnsi="仿宋" w:hint="eastAsia"/>
          <w:sz w:val="32"/>
          <w:szCs w:val="32"/>
        </w:rPr>
        <w:t xml:space="preserve">  </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屏山保护管理机构应当以现有道路和设施为基础，合理设置游览线路。</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游览线路内，应当使用环保清洁的公共交通工具。</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提倡游客采用步行的游览方式。</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黑体" w:hAnsi="仿宋" w:hint="eastAsia"/>
          <w:sz w:val="32"/>
          <w:szCs w:val="32"/>
        </w:rPr>
        <w:t>第二十八条</w:t>
      </w:r>
      <w:r w:rsidRPr="00A953CE">
        <w:rPr>
          <w:rFonts w:ascii="仿宋_GB2312" w:eastAsia="仿宋_GB2312" w:hAnsi="仿宋" w:hint="eastAsia"/>
          <w:sz w:val="32"/>
          <w:szCs w:val="32"/>
        </w:rPr>
        <w:t xml:space="preserve">  </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屏山内实行交通管制，具体办法由公安机关会同翠屏区人民政府制定并公告。</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进入</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屏山的车辆应当服从</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屏山保护管理机构的统一管理，按照指定的线路行驶，在划定的停车区域停放。</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黑体" w:hAnsi="仿宋" w:hint="eastAsia"/>
          <w:sz w:val="32"/>
          <w:szCs w:val="32"/>
        </w:rPr>
        <w:t>第二十九条</w:t>
      </w:r>
      <w:r w:rsidRPr="00A953CE">
        <w:rPr>
          <w:rFonts w:ascii="仿宋_GB2312" w:eastAsia="仿宋_GB2312" w:hAnsi="仿宋" w:hint="eastAsia"/>
          <w:sz w:val="32"/>
          <w:szCs w:val="32"/>
        </w:rPr>
        <w:t xml:space="preserve">  </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屏山保护管理机构应当根据</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屏山规划和功能需要，拟定经营服务网点规划方案，</w:t>
      </w:r>
      <w:proofErr w:type="gramStart"/>
      <w:r w:rsidRPr="00A953CE">
        <w:rPr>
          <w:rFonts w:ascii="仿宋_GB2312" w:eastAsia="仿宋_GB2312" w:hAnsi="仿宋" w:hint="eastAsia"/>
          <w:sz w:val="32"/>
          <w:szCs w:val="32"/>
        </w:rPr>
        <w:t>报翠屏</w:t>
      </w:r>
      <w:proofErr w:type="gramEnd"/>
      <w:r w:rsidRPr="00A953CE">
        <w:rPr>
          <w:rFonts w:ascii="仿宋_GB2312" w:eastAsia="仿宋_GB2312" w:hAnsi="仿宋" w:hint="eastAsia"/>
          <w:sz w:val="32"/>
          <w:szCs w:val="32"/>
        </w:rPr>
        <w:t>区人民政府审核批准。</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拟在翠屏山内从事经营或者设置户外广告，应当依法办理相关审批手续的，有关主管部门</w:t>
      </w:r>
      <w:proofErr w:type="gramStart"/>
      <w:r w:rsidRPr="00A953CE">
        <w:rPr>
          <w:rFonts w:ascii="仿宋_GB2312" w:eastAsia="仿宋_GB2312" w:hAnsi="仿宋" w:hint="eastAsia"/>
          <w:sz w:val="32"/>
          <w:szCs w:val="32"/>
        </w:rPr>
        <w:t>作出</w:t>
      </w:r>
      <w:proofErr w:type="gramEnd"/>
      <w:r w:rsidRPr="00A953CE">
        <w:rPr>
          <w:rFonts w:ascii="仿宋_GB2312" w:eastAsia="仿宋_GB2312" w:hAnsi="仿宋" w:hint="eastAsia"/>
          <w:sz w:val="32"/>
          <w:szCs w:val="32"/>
        </w:rPr>
        <w:t>批准决定前，应当征求</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屏山保护管理机构的意见。经批准后，有关单位和个人应当在</w:t>
      </w:r>
      <w:r w:rsidRPr="00A953CE">
        <w:rPr>
          <w:rFonts w:ascii="仿宋_GB2312" w:eastAsia="仿宋_GB2312" w:hAnsi="仿宋" w:hint="eastAsia"/>
          <w:sz w:val="32"/>
          <w:szCs w:val="32"/>
        </w:rPr>
        <w:lastRenderedPageBreak/>
        <w:t>翠屏山保护管理机构指定的地点、时限以及经批准的范围内依法经营或者设置户外广告。</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黑体" w:hAnsi="仿宋" w:hint="eastAsia"/>
          <w:sz w:val="32"/>
          <w:szCs w:val="32"/>
        </w:rPr>
        <w:t>第三十条</w:t>
      </w:r>
      <w:r w:rsidRPr="00A953CE">
        <w:rPr>
          <w:rFonts w:ascii="仿宋_GB2312" w:eastAsia="仿宋_GB2312" w:hAnsi="仿宋" w:hint="eastAsia"/>
          <w:sz w:val="32"/>
          <w:szCs w:val="32"/>
        </w:rPr>
        <w:t xml:space="preserve">  在翠屏山内开展或者进行下列活动，应当依法办理审批手续的，有关主管部门</w:t>
      </w:r>
      <w:proofErr w:type="gramStart"/>
      <w:r w:rsidRPr="00A953CE">
        <w:rPr>
          <w:rFonts w:ascii="仿宋_GB2312" w:eastAsia="仿宋_GB2312" w:hAnsi="仿宋" w:hint="eastAsia"/>
          <w:sz w:val="32"/>
          <w:szCs w:val="32"/>
        </w:rPr>
        <w:t>作出</w:t>
      </w:r>
      <w:proofErr w:type="gramEnd"/>
      <w:r w:rsidRPr="00A953CE">
        <w:rPr>
          <w:rFonts w:ascii="仿宋_GB2312" w:eastAsia="仿宋_GB2312" w:hAnsi="仿宋" w:hint="eastAsia"/>
          <w:sz w:val="32"/>
          <w:szCs w:val="32"/>
        </w:rPr>
        <w:t>批准决定前，应当征求</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屏山保护管理机构的意见。</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（一）新增石刻、碑碣、雕塑等；</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（二）开展影视拍摄、文艺演出；</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（三）其他可能影响生态环境的活动。</w:t>
      </w:r>
    </w:p>
    <w:p w:rsidR="00085C38" w:rsidRPr="00A953CE" w:rsidRDefault="00085C38" w:rsidP="00A953CE">
      <w:pPr>
        <w:spacing w:line="580" w:lineRule="exact"/>
        <w:ind w:firstLineChars="200" w:firstLine="640"/>
        <w:jc w:val="left"/>
        <w:rPr>
          <w:rFonts w:ascii="仿宋_GB2312" w:eastAsia="仿宋_GB2312" w:hAnsi="仿宋"/>
          <w:sz w:val="32"/>
          <w:szCs w:val="32"/>
        </w:rPr>
      </w:pPr>
    </w:p>
    <w:p w:rsidR="00085C38" w:rsidRPr="00A953CE" w:rsidRDefault="00085C38" w:rsidP="00A953CE">
      <w:pPr>
        <w:spacing w:line="580" w:lineRule="exact"/>
        <w:ind w:firstLineChars="200" w:firstLine="640"/>
        <w:jc w:val="center"/>
        <w:rPr>
          <w:rFonts w:ascii="仿宋_GB2312" w:eastAsia="黑体" w:hAnsi="仿宋"/>
          <w:sz w:val="32"/>
          <w:szCs w:val="32"/>
        </w:rPr>
      </w:pPr>
      <w:r w:rsidRPr="00A953CE">
        <w:rPr>
          <w:rFonts w:ascii="仿宋_GB2312" w:eastAsia="黑体" w:hAnsi="仿宋" w:hint="eastAsia"/>
          <w:sz w:val="32"/>
          <w:szCs w:val="32"/>
        </w:rPr>
        <w:t>第六章　法律责任</w:t>
      </w:r>
    </w:p>
    <w:p w:rsidR="00085C38" w:rsidRPr="00A953CE" w:rsidRDefault="00085C38" w:rsidP="00A953CE">
      <w:pPr>
        <w:spacing w:line="580" w:lineRule="exact"/>
        <w:ind w:firstLineChars="200" w:firstLine="640"/>
        <w:jc w:val="left"/>
        <w:rPr>
          <w:rFonts w:ascii="仿宋_GB2312" w:eastAsia="黑体" w:hAnsi="仿宋"/>
          <w:sz w:val="32"/>
          <w:szCs w:val="32"/>
        </w:rPr>
      </w:pP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黑体" w:hAnsi="仿宋" w:hint="eastAsia"/>
          <w:sz w:val="32"/>
          <w:szCs w:val="32"/>
        </w:rPr>
        <w:t>第三十一条</w:t>
      </w:r>
      <w:r w:rsidRPr="00A953CE">
        <w:rPr>
          <w:rFonts w:ascii="仿宋_GB2312" w:eastAsia="仿宋_GB2312" w:hAnsi="仿宋" w:hint="eastAsia"/>
          <w:sz w:val="32"/>
          <w:szCs w:val="32"/>
        </w:rPr>
        <w:t xml:space="preserve">  违反本条例规定的行为，法律、法规已有法律责任规定的，依照其规定处理。</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黑体" w:hAnsi="仿宋" w:hint="eastAsia"/>
          <w:sz w:val="32"/>
          <w:szCs w:val="32"/>
        </w:rPr>
        <w:t>第三十二条</w:t>
      </w:r>
      <w:r w:rsidRPr="00A953CE">
        <w:rPr>
          <w:rFonts w:ascii="仿宋_GB2312" w:eastAsia="仿宋_GB2312" w:hAnsi="仿宋" w:hint="eastAsia"/>
          <w:sz w:val="32"/>
          <w:szCs w:val="32"/>
        </w:rPr>
        <w:t xml:space="preserve">  违反本条例规定的下列行为，造成损失的依法承担赔偿责任，并由翠屏山保护管理机构按照下列规定予以处罚：</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（一）</w:t>
      </w:r>
      <w:proofErr w:type="gramStart"/>
      <w:r w:rsidRPr="00A953CE">
        <w:rPr>
          <w:rFonts w:ascii="仿宋_GB2312" w:eastAsia="仿宋_GB2312" w:hAnsi="仿宋" w:hint="eastAsia"/>
          <w:sz w:val="32"/>
          <w:szCs w:val="32"/>
        </w:rPr>
        <w:t>刻划</w:t>
      </w:r>
      <w:proofErr w:type="gramEnd"/>
      <w:r w:rsidRPr="00A953CE">
        <w:rPr>
          <w:rFonts w:ascii="仿宋_GB2312" w:eastAsia="仿宋_GB2312" w:hAnsi="仿宋" w:hint="eastAsia"/>
          <w:sz w:val="32"/>
          <w:szCs w:val="32"/>
        </w:rPr>
        <w:t>、污损文物古迹，情节轻微的，给予警告，可以并处二百元以下罚款；</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（二）损毁或者擅自移动区域内公共服务设施、设备及各种标志的，责令改正；拒不改正的，处五十元以上二百元以下罚款；</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（三）在吸烟区外吸烟，在非宗教活动场所焚烧香蜡纸烛，</w:t>
      </w:r>
      <w:r w:rsidRPr="00A953CE">
        <w:rPr>
          <w:rFonts w:ascii="仿宋_GB2312" w:eastAsia="仿宋_GB2312" w:hAnsi="仿宋" w:hint="eastAsia"/>
          <w:sz w:val="32"/>
          <w:szCs w:val="32"/>
        </w:rPr>
        <w:lastRenderedPageBreak/>
        <w:t>在野外用火、燃放烟花爆竹、焚烧垃圾和秸秆的，责令改正；拒不改正的，处五十元以上二百元以下罚款；</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（四）乱拉乱接电源线等管线的，责令改正；拒不改正的，处五十元以上二百元以下罚款；</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（五）擅自采摘、采挖花草、树木、药材等植物的，责令改正；拒不改正的，处五十元以上二百元以下罚款；</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仿宋_GB2312" w:hAnsi="仿宋" w:hint="eastAsia"/>
          <w:sz w:val="32"/>
          <w:szCs w:val="32"/>
        </w:rPr>
        <w:t>（六）新建、改建、扩建坟墓的，责令改正，处一千元以上一万元以下罚款。</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黑体" w:hAnsi="仿宋" w:hint="eastAsia"/>
          <w:sz w:val="32"/>
          <w:szCs w:val="32"/>
        </w:rPr>
        <w:t>第三十三条</w:t>
      </w:r>
      <w:r w:rsidRPr="00A953CE">
        <w:rPr>
          <w:rFonts w:ascii="仿宋_GB2312" w:eastAsia="仿宋_GB2312" w:hAnsi="仿宋" w:hint="eastAsia"/>
          <w:sz w:val="32"/>
          <w:szCs w:val="32"/>
        </w:rPr>
        <w:t xml:space="preserve">  违反本条例第十八条规定的，由有关行政主管部门责令改正，限期恢复原状，可并处工程造价1％—10％的罚款；不能恢复原状、造成损失的，承担赔偿责任。</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黑体" w:hAnsi="仿宋" w:hint="eastAsia"/>
          <w:sz w:val="32"/>
          <w:szCs w:val="32"/>
        </w:rPr>
        <w:t>第三十四条</w:t>
      </w:r>
      <w:r w:rsidRPr="00A953CE">
        <w:rPr>
          <w:rFonts w:ascii="仿宋_GB2312" w:eastAsia="仿宋_GB2312" w:hAnsi="仿宋" w:hint="eastAsia"/>
          <w:sz w:val="32"/>
          <w:szCs w:val="32"/>
        </w:rPr>
        <w:t xml:space="preserve">  违反本条例第二十八条第二款的规定，未按照指定的线路行驶、未在划定的停车区域停放的，由翠屏山保护管理机构责令改正；拒不改正的，处二十元以上二百元以下罚款。</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黑体" w:hAnsi="仿宋" w:hint="eastAsia"/>
          <w:sz w:val="32"/>
          <w:szCs w:val="32"/>
        </w:rPr>
        <w:t>第三十五条</w:t>
      </w:r>
      <w:r w:rsidRPr="00A953CE">
        <w:rPr>
          <w:rFonts w:ascii="仿宋_GB2312" w:eastAsia="仿宋_GB2312" w:hAnsi="仿宋" w:hint="eastAsia"/>
          <w:sz w:val="32"/>
          <w:szCs w:val="32"/>
        </w:rPr>
        <w:t xml:space="preserve">  违反本条例第二十五条第八项、第二十九条的规定，不按规定的地点、时限和经批准的范围经营或者擅自摆摊设点、兜售物品的，由翠屏山保护管理机构责令改正；拒不改正的，代为清除，其费用由违法行为人承担；情节严重或者造成严重后果的，并</w:t>
      </w:r>
      <w:proofErr w:type="gramStart"/>
      <w:r w:rsidRPr="00A953CE">
        <w:rPr>
          <w:rFonts w:ascii="仿宋_GB2312" w:eastAsia="仿宋_GB2312" w:hAnsi="仿宋" w:hint="eastAsia"/>
          <w:sz w:val="32"/>
          <w:szCs w:val="32"/>
        </w:rPr>
        <w:t>处个人</w:t>
      </w:r>
      <w:proofErr w:type="gramEnd"/>
      <w:r w:rsidRPr="00A953CE">
        <w:rPr>
          <w:rFonts w:ascii="仿宋_GB2312" w:eastAsia="仿宋_GB2312" w:hAnsi="仿宋" w:hint="eastAsia"/>
          <w:sz w:val="32"/>
          <w:szCs w:val="32"/>
        </w:rPr>
        <w:t>五十元以上二百元以下罚款，单位五百元以上二千元以下的罚款。</w:t>
      </w: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黑体" w:hAnsi="仿宋" w:hint="eastAsia"/>
          <w:sz w:val="32"/>
          <w:szCs w:val="32"/>
        </w:rPr>
        <w:t>第三十六条</w:t>
      </w:r>
      <w:r w:rsidRPr="00A953CE">
        <w:rPr>
          <w:rFonts w:ascii="仿宋_GB2312" w:eastAsia="仿宋_GB2312" w:hAnsi="仿宋" w:hint="eastAsia"/>
          <w:sz w:val="32"/>
          <w:szCs w:val="32"/>
        </w:rPr>
        <w:t xml:space="preserve">  </w:t>
      </w:r>
      <w:proofErr w:type="gramStart"/>
      <w:r w:rsidRPr="00A953CE">
        <w:rPr>
          <w:rFonts w:ascii="仿宋_GB2312" w:eastAsia="仿宋_GB2312" w:hAnsi="仿宋" w:hint="eastAsia"/>
          <w:sz w:val="32"/>
          <w:szCs w:val="32"/>
        </w:rPr>
        <w:t>翠</w:t>
      </w:r>
      <w:proofErr w:type="gramEnd"/>
      <w:r w:rsidRPr="00A953CE">
        <w:rPr>
          <w:rFonts w:ascii="仿宋_GB2312" w:eastAsia="仿宋_GB2312" w:hAnsi="仿宋" w:hint="eastAsia"/>
          <w:sz w:val="32"/>
          <w:szCs w:val="32"/>
        </w:rPr>
        <w:t>屏山保护管理机构工作人员和有关行政主</w:t>
      </w:r>
      <w:r w:rsidRPr="00A953CE">
        <w:rPr>
          <w:rFonts w:ascii="仿宋_GB2312" w:eastAsia="仿宋_GB2312" w:hAnsi="仿宋" w:hint="eastAsia"/>
          <w:sz w:val="32"/>
          <w:szCs w:val="32"/>
        </w:rPr>
        <w:lastRenderedPageBreak/>
        <w:t>管部门工作人员滥用职权、玩忽职守、徇私舞弊的，对负有责任的主管人员和其他直接责任人员依法给予行政处分；构成犯罪的，依法追究刑事责任。</w:t>
      </w:r>
    </w:p>
    <w:p w:rsidR="00085C38" w:rsidRPr="00A953CE" w:rsidRDefault="00085C38" w:rsidP="00A953CE">
      <w:pPr>
        <w:spacing w:line="580" w:lineRule="exact"/>
        <w:ind w:firstLineChars="200" w:firstLine="640"/>
        <w:jc w:val="left"/>
        <w:rPr>
          <w:rFonts w:ascii="仿宋_GB2312" w:eastAsia="仿宋_GB2312" w:hAnsi="仿宋"/>
          <w:sz w:val="32"/>
          <w:szCs w:val="32"/>
        </w:rPr>
      </w:pPr>
    </w:p>
    <w:p w:rsidR="00085C38" w:rsidRPr="00A953CE" w:rsidRDefault="00085C38" w:rsidP="00A953CE">
      <w:pPr>
        <w:spacing w:line="580" w:lineRule="exact"/>
        <w:ind w:firstLineChars="200" w:firstLine="640"/>
        <w:jc w:val="center"/>
        <w:rPr>
          <w:rFonts w:ascii="仿宋_GB2312" w:eastAsia="黑体" w:hAnsi="仿宋"/>
          <w:sz w:val="32"/>
          <w:szCs w:val="32"/>
        </w:rPr>
      </w:pPr>
      <w:r w:rsidRPr="00A953CE">
        <w:rPr>
          <w:rFonts w:ascii="仿宋_GB2312" w:eastAsia="黑体" w:hAnsi="仿宋" w:hint="eastAsia"/>
          <w:sz w:val="32"/>
          <w:szCs w:val="32"/>
        </w:rPr>
        <w:t>第七章　附</w:t>
      </w:r>
      <w:r w:rsidRPr="00A953CE">
        <w:rPr>
          <w:rFonts w:ascii="仿宋_GB2312" w:eastAsia="黑体" w:hAnsi="仿宋" w:hint="eastAsia"/>
          <w:sz w:val="32"/>
          <w:szCs w:val="32"/>
        </w:rPr>
        <w:t xml:space="preserve">  </w:t>
      </w:r>
      <w:r w:rsidRPr="00A953CE">
        <w:rPr>
          <w:rFonts w:ascii="仿宋_GB2312" w:eastAsia="黑体" w:hAnsi="仿宋" w:hint="eastAsia"/>
          <w:sz w:val="32"/>
          <w:szCs w:val="32"/>
        </w:rPr>
        <w:t>则</w:t>
      </w:r>
    </w:p>
    <w:p w:rsidR="00085C38" w:rsidRPr="00A953CE" w:rsidRDefault="00085C38" w:rsidP="00A953CE">
      <w:pPr>
        <w:spacing w:line="580" w:lineRule="exact"/>
        <w:ind w:firstLineChars="200" w:firstLine="640"/>
        <w:jc w:val="left"/>
        <w:rPr>
          <w:rFonts w:ascii="仿宋_GB2312" w:eastAsia="黑体" w:hAnsi="仿宋"/>
          <w:sz w:val="32"/>
          <w:szCs w:val="32"/>
        </w:rPr>
      </w:pPr>
    </w:p>
    <w:p w:rsidR="00085C38" w:rsidRPr="00A953CE" w:rsidRDefault="00085C38" w:rsidP="00A953CE">
      <w:pPr>
        <w:spacing w:line="580" w:lineRule="exact"/>
        <w:ind w:firstLineChars="200" w:firstLine="640"/>
        <w:jc w:val="left"/>
        <w:rPr>
          <w:rFonts w:ascii="仿宋_GB2312" w:eastAsia="仿宋_GB2312" w:hAnsi="仿宋"/>
          <w:sz w:val="32"/>
          <w:szCs w:val="32"/>
        </w:rPr>
      </w:pPr>
      <w:r w:rsidRPr="00A953CE">
        <w:rPr>
          <w:rFonts w:ascii="仿宋_GB2312" w:eastAsia="黑体" w:hAnsi="仿宋" w:hint="eastAsia"/>
          <w:sz w:val="32"/>
          <w:szCs w:val="32"/>
        </w:rPr>
        <w:t>第三十七条</w:t>
      </w:r>
      <w:r w:rsidRPr="00A953CE">
        <w:rPr>
          <w:rFonts w:ascii="仿宋_GB2312" w:eastAsia="仿宋_GB2312" w:hAnsi="仿宋" w:hint="eastAsia"/>
          <w:sz w:val="32"/>
          <w:szCs w:val="32"/>
        </w:rPr>
        <w:t xml:space="preserve">  市人民政府可以根据本条例制定实施细则。</w:t>
      </w:r>
    </w:p>
    <w:p w:rsidR="00085C38" w:rsidRPr="00A953CE" w:rsidRDefault="00085C38" w:rsidP="00A953CE">
      <w:pPr>
        <w:spacing w:line="580" w:lineRule="exact"/>
        <w:ind w:firstLineChars="200" w:firstLine="640"/>
        <w:jc w:val="left"/>
        <w:rPr>
          <w:rFonts w:ascii="仿宋_GB2312" w:eastAsia="仿宋_GB2312"/>
          <w:bCs/>
          <w:spacing w:val="6"/>
          <w:sz w:val="32"/>
          <w:szCs w:val="32"/>
        </w:rPr>
      </w:pPr>
      <w:r w:rsidRPr="00A953CE">
        <w:rPr>
          <w:rFonts w:ascii="仿宋_GB2312" w:eastAsia="黑体" w:hAnsi="仿宋" w:hint="eastAsia"/>
          <w:sz w:val="32"/>
          <w:szCs w:val="32"/>
        </w:rPr>
        <w:t>第三十八条</w:t>
      </w:r>
      <w:r w:rsidRPr="00A953CE">
        <w:rPr>
          <w:rFonts w:ascii="仿宋_GB2312" w:eastAsia="仿宋_GB2312" w:hAnsi="仿宋" w:hint="eastAsia"/>
          <w:sz w:val="32"/>
          <w:szCs w:val="32"/>
        </w:rPr>
        <w:t xml:space="preserve">  本</w:t>
      </w:r>
      <w:r w:rsidRPr="00A953CE">
        <w:rPr>
          <w:rFonts w:ascii="仿宋_GB2312" w:eastAsia="仿宋_GB2312" w:hint="eastAsia"/>
          <w:sz w:val="32"/>
          <w:szCs w:val="32"/>
        </w:rPr>
        <w:t>条例自2018年1月 1日起施行。</w:t>
      </w:r>
    </w:p>
    <w:p w:rsidR="004B6BF7" w:rsidRPr="00A953CE" w:rsidRDefault="004B6BF7" w:rsidP="00A953CE">
      <w:pPr>
        <w:spacing w:line="580" w:lineRule="exact"/>
        <w:rPr>
          <w:rFonts w:ascii="仿宋_GB2312" w:eastAsia="仿宋_GB2312"/>
          <w:sz w:val="32"/>
          <w:szCs w:val="32"/>
        </w:rPr>
      </w:pPr>
    </w:p>
    <w:sectPr w:rsidR="004B6BF7" w:rsidRPr="00A953CE" w:rsidSect="00A953CE">
      <w:footerReference w:type="even" r:id="rId7"/>
      <w:footerReference w:type="default" r:id="rId8"/>
      <w:pgSz w:w="11906" w:h="16838"/>
      <w:pgMar w:top="2098" w:right="1588" w:bottom="1814" w:left="1588" w:header="851" w:footer="39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3CE" w:rsidRDefault="00A953CE" w:rsidP="00A953CE">
      <w:r>
        <w:separator/>
      </w:r>
    </w:p>
  </w:endnote>
  <w:endnote w:type="continuationSeparator" w:id="0">
    <w:p w:rsidR="00A953CE" w:rsidRDefault="00A953CE" w:rsidP="00A95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3CE" w:rsidRPr="00A953CE" w:rsidRDefault="00A953CE" w:rsidP="00A953CE">
    <w:pPr>
      <w:pStyle w:val="a4"/>
      <w:ind w:firstLineChars="50" w:firstLine="140"/>
      <w:rPr>
        <w:rFonts w:asciiTheme="minorEastAsia" w:eastAsiaTheme="minorEastAsia" w:hAnsiTheme="minorEastAsia"/>
        <w:sz w:val="28"/>
        <w:szCs w:val="28"/>
      </w:rPr>
    </w:pPr>
    <w:r w:rsidRPr="00A953CE">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627935700"/>
        <w:docPartObj>
          <w:docPartGallery w:val="Page Numbers (Bottom of Page)"/>
          <w:docPartUnique/>
        </w:docPartObj>
      </w:sdtPr>
      <w:sdtEndPr/>
      <w:sdtContent>
        <w:r w:rsidRPr="00A953CE">
          <w:rPr>
            <w:rFonts w:asciiTheme="minorEastAsia" w:eastAsiaTheme="minorEastAsia" w:hAnsiTheme="minorEastAsia"/>
            <w:sz w:val="28"/>
            <w:szCs w:val="28"/>
          </w:rPr>
          <w:fldChar w:fldCharType="begin"/>
        </w:r>
        <w:r w:rsidRPr="00A953CE">
          <w:rPr>
            <w:rFonts w:asciiTheme="minorEastAsia" w:eastAsiaTheme="minorEastAsia" w:hAnsiTheme="minorEastAsia"/>
            <w:sz w:val="28"/>
            <w:szCs w:val="28"/>
          </w:rPr>
          <w:instrText>PAGE   \* MERGEFORMAT</w:instrText>
        </w:r>
        <w:r w:rsidRPr="00A953CE">
          <w:rPr>
            <w:rFonts w:asciiTheme="minorEastAsia" w:eastAsiaTheme="minorEastAsia" w:hAnsiTheme="minorEastAsia"/>
            <w:sz w:val="28"/>
            <w:szCs w:val="28"/>
          </w:rPr>
          <w:fldChar w:fldCharType="separate"/>
        </w:r>
        <w:r w:rsidR="008C01F8" w:rsidRPr="008C01F8">
          <w:rPr>
            <w:rFonts w:asciiTheme="minorEastAsia" w:eastAsiaTheme="minorEastAsia" w:hAnsiTheme="minorEastAsia"/>
            <w:noProof/>
            <w:sz w:val="28"/>
            <w:szCs w:val="28"/>
            <w:lang w:val="zh-CN"/>
          </w:rPr>
          <w:t>2</w:t>
        </w:r>
        <w:r w:rsidRPr="00A953CE">
          <w:rPr>
            <w:rFonts w:asciiTheme="minorEastAsia" w:eastAsiaTheme="minorEastAsia" w:hAnsiTheme="minorEastAsia"/>
            <w:sz w:val="28"/>
            <w:szCs w:val="28"/>
          </w:rPr>
          <w:fldChar w:fldCharType="end"/>
        </w:r>
        <w:r w:rsidRPr="00A953CE">
          <w:rPr>
            <w:rFonts w:asciiTheme="minorEastAsia" w:eastAsiaTheme="minorEastAsia" w:hAnsiTheme="minorEastAsia" w:hint="eastAsia"/>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3CE" w:rsidRPr="00A953CE" w:rsidRDefault="00A953CE" w:rsidP="00A953CE">
    <w:pPr>
      <w:pStyle w:val="a4"/>
      <w:jc w:val="right"/>
      <w:rPr>
        <w:rFonts w:asciiTheme="majorEastAsia" w:eastAsiaTheme="majorEastAsia" w:hAnsiTheme="majorEastAsia"/>
        <w:sz w:val="28"/>
        <w:szCs w:val="28"/>
      </w:rPr>
    </w:pPr>
    <w:r w:rsidRPr="00A953CE">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627981573"/>
        <w:docPartObj>
          <w:docPartGallery w:val="Page Numbers (Bottom of Page)"/>
          <w:docPartUnique/>
        </w:docPartObj>
      </w:sdtPr>
      <w:sdtEndPr/>
      <w:sdtContent>
        <w:r w:rsidRPr="00A953CE">
          <w:rPr>
            <w:rFonts w:asciiTheme="majorEastAsia" w:eastAsiaTheme="majorEastAsia" w:hAnsiTheme="majorEastAsia"/>
            <w:sz w:val="28"/>
            <w:szCs w:val="28"/>
          </w:rPr>
          <w:fldChar w:fldCharType="begin"/>
        </w:r>
        <w:r w:rsidRPr="00A953CE">
          <w:rPr>
            <w:rFonts w:asciiTheme="majorEastAsia" w:eastAsiaTheme="majorEastAsia" w:hAnsiTheme="majorEastAsia"/>
            <w:sz w:val="28"/>
            <w:szCs w:val="28"/>
          </w:rPr>
          <w:instrText>PAGE   \* MERGEFORMAT</w:instrText>
        </w:r>
        <w:r w:rsidRPr="00A953CE">
          <w:rPr>
            <w:rFonts w:asciiTheme="majorEastAsia" w:eastAsiaTheme="majorEastAsia" w:hAnsiTheme="majorEastAsia"/>
            <w:sz w:val="28"/>
            <w:szCs w:val="28"/>
          </w:rPr>
          <w:fldChar w:fldCharType="separate"/>
        </w:r>
        <w:r w:rsidR="008C01F8" w:rsidRPr="008C01F8">
          <w:rPr>
            <w:rFonts w:asciiTheme="majorEastAsia" w:eastAsiaTheme="majorEastAsia" w:hAnsiTheme="majorEastAsia"/>
            <w:noProof/>
            <w:sz w:val="28"/>
            <w:szCs w:val="28"/>
            <w:lang w:val="zh-CN"/>
          </w:rPr>
          <w:t>1</w:t>
        </w:r>
        <w:r w:rsidRPr="00A953CE">
          <w:rPr>
            <w:rFonts w:asciiTheme="majorEastAsia" w:eastAsiaTheme="majorEastAsia" w:hAnsiTheme="majorEastAsia"/>
            <w:sz w:val="28"/>
            <w:szCs w:val="28"/>
          </w:rPr>
          <w:fldChar w:fldCharType="end"/>
        </w:r>
        <w:r w:rsidRPr="00A953CE">
          <w:rPr>
            <w:rFonts w:asciiTheme="majorEastAsia" w:eastAsiaTheme="majorEastAsia" w:hAnsiTheme="majorEastAsia" w:hint="eastAsia"/>
            <w:sz w:val="28"/>
            <w:szCs w:val="28"/>
          </w:rPr>
          <w:t xml:space="preserve"> —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3CE" w:rsidRDefault="00A953CE" w:rsidP="00A953CE">
      <w:r>
        <w:separator/>
      </w:r>
    </w:p>
  </w:footnote>
  <w:footnote w:type="continuationSeparator" w:id="0">
    <w:p w:rsidR="00A953CE" w:rsidRDefault="00A953CE" w:rsidP="00A95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C38"/>
    <w:rsid w:val="00085C38"/>
    <w:rsid w:val="004B6BF7"/>
    <w:rsid w:val="008C01F8"/>
    <w:rsid w:val="00A95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C3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53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53CE"/>
    <w:rPr>
      <w:rFonts w:ascii="Times New Roman" w:eastAsia="宋体" w:hAnsi="Times New Roman" w:cs="Times New Roman"/>
      <w:sz w:val="18"/>
      <w:szCs w:val="18"/>
    </w:rPr>
  </w:style>
  <w:style w:type="paragraph" w:styleId="a4">
    <w:name w:val="footer"/>
    <w:basedOn w:val="a"/>
    <w:link w:val="Char0"/>
    <w:uiPriority w:val="99"/>
    <w:unhideWhenUsed/>
    <w:rsid w:val="00A953CE"/>
    <w:pPr>
      <w:tabs>
        <w:tab w:val="center" w:pos="4153"/>
        <w:tab w:val="right" w:pos="8306"/>
      </w:tabs>
      <w:snapToGrid w:val="0"/>
      <w:jc w:val="left"/>
    </w:pPr>
    <w:rPr>
      <w:sz w:val="18"/>
      <w:szCs w:val="18"/>
    </w:rPr>
  </w:style>
  <w:style w:type="character" w:customStyle="1" w:styleId="Char0">
    <w:name w:val="页脚 Char"/>
    <w:basedOn w:val="a0"/>
    <w:link w:val="a4"/>
    <w:uiPriority w:val="99"/>
    <w:rsid w:val="00A953C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C3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53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53CE"/>
    <w:rPr>
      <w:rFonts w:ascii="Times New Roman" w:eastAsia="宋体" w:hAnsi="Times New Roman" w:cs="Times New Roman"/>
      <w:sz w:val="18"/>
      <w:szCs w:val="18"/>
    </w:rPr>
  </w:style>
  <w:style w:type="paragraph" w:styleId="a4">
    <w:name w:val="footer"/>
    <w:basedOn w:val="a"/>
    <w:link w:val="Char0"/>
    <w:uiPriority w:val="99"/>
    <w:unhideWhenUsed/>
    <w:rsid w:val="00A953CE"/>
    <w:pPr>
      <w:tabs>
        <w:tab w:val="center" w:pos="4153"/>
        <w:tab w:val="right" w:pos="8306"/>
      </w:tabs>
      <w:snapToGrid w:val="0"/>
      <w:jc w:val="left"/>
    </w:pPr>
    <w:rPr>
      <w:sz w:val="18"/>
      <w:szCs w:val="18"/>
    </w:rPr>
  </w:style>
  <w:style w:type="character" w:customStyle="1" w:styleId="Char0">
    <w:name w:val="页脚 Char"/>
    <w:basedOn w:val="a0"/>
    <w:link w:val="a4"/>
    <w:uiPriority w:val="99"/>
    <w:rsid w:val="00A953C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595</Words>
  <Characters>3398</Characters>
  <Application>Microsoft Office Word</Application>
  <DocSecurity>0</DocSecurity>
  <Lines>28</Lines>
  <Paragraphs>7</Paragraphs>
  <ScaleCrop>false</ScaleCrop>
  <Company>Microsoft</Company>
  <LinksUpToDate>false</LinksUpToDate>
  <CharactersWithSpaces>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2017-12-01T03:01:00Z</dcterms:created>
  <dcterms:modified xsi:type="dcterms:W3CDTF">2017-12-28T00:52:00Z</dcterms:modified>
</cp:coreProperties>
</file>