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0" w:name="_GoBack"/>
      <w:bookmarkEnd w:id="0"/>
    </w:p>
    <w:p w14:paraId="41FE7312">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云南省建设工程招标投标管理条例</w:t>
      </w:r>
    </w:p>
    <w:p w14:paraId="5EDFDB1F">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（1996年9月25日云南省第八届人民代表大会常务委员会第二十三次会议通过　根据2004年6月29日云南省第十届人民代表大会常务委员会第十次会议《关于修改和废止16件涉及行政许可的地方性法规的决定》第一次修正　根据2021年9月29日云南省第十三届人民代表大会常务委员会第二十六次会议《关于废止和修改部分地方性法规的决定》第二次修正　根据2024年11月28日云南省第十四届人民代表大会常务委员会第十三次会议《关于废止和修改部分地方性法规的决定》第三次修正）</w:t>
      </w:r>
    </w:p>
    <w:p w14:paraId="732ADA11">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576426F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招　　标</w:t>
      </w:r>
    </w:p>
    <w:p w14:paraId="4CE9094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投　　标</w:t>
      </w:r>
    </w:p>
    <w:p w14:paraId="15F7869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开标、评标和定标</w:t>
      </w:r>
    </w:p>
    <w:p w14:paraId="4BAC708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法律责任</w:t>
      </w:r>
    </w:p>
    <w:p w14:paraId="381E95D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14:paraId="04DE2E59">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0C7A8510">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为加强建设工程招标投标管理，规范建筑市场交易行为，提高建设工程质量和投资效益，保护招标投标者的合法权益，根据有关法律、法规，结合我省实际，制定本条例。</w:t>
      </w:r>
    </w:p>
    <w:p w14:paraId="554411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凡在本省行政区域内全部或者部分使用国有资金投资或者国家融资的项目、使用国际组织或者外国政府贷款援助资金的项目，以及大型基础设施、公用事业等项目，包括新建、扩建、改建项目，必须依法实行招标投标。法律、行政法规另有规定的除外。</w:t>
      </w:r>
    </w:p>
    <w:p w14:paraId="7384BB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建设工程项目的施工和总承包的招标投标适用本条例。</w:t>
      </w:r>
    </w:p>
    <w:p w14:paraId="282DE85F">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建设工程项目的勘察、设计、设备供应（除国家规定的特定进口产品外）、建设监理的招标投标，参照本条例执行。</w:t>
      </w:r>
    </w:p>
    <w:p w14:paraId="6E49C955">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建设工程项目在可行性研究报告批准前的阶段不适用本条例。</w:t>
      </w:r>
    </w:p>
    <w:p w14:paraId="33F2A30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建设工程招标投标活动应当遵循公开、公正、公平竞争和综合评议、择优定标的原则，保证招标投标的平等性、评标的公正性和定标的合理性。</w:t>
      </w:r>
    </w:p>
    <w:p w14:paraId="14DEC747">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任何单位和个人不得以任何理由，将必须实行招标投标的工程指定发包；也不得以任何理由垄断或者强行承接工程。</w:t>
      </w:r>
    </w:p>
    <w:p w14:paraId="5C6B50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县以上住房城乡建设行政主管部门主管建设工程招标投标工作。</w:t>
      </w:r>
    </w:p>
    <w:p w14:paraId="334FE154">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发展改革、商务、财政、价格、自然资源、市场监督管理等部门按照各自职责参与管理建设工程招标投标工作。</w:t>
      </w:r>
    </w:p>
    <w:p w14:paraId="2B31FC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县以上住房城乡建设行政主管部门设立的招标投标管理机构，负责建设工程招标投标日常管理工作，为招标投标单位提供业务指导和服务。其主要职责是：</w:t>
      </w:r>
    </w:p>
    <w:p w14:paraId="0EDD9C96">
      <w:pPr>
        <w:ind w:firstLine="632" w:firstLineChars="200"/>
        <w:rPr>
          <w:rFonts w:ascii="Times New Roman" w:hAnsi="Times New Roman" w:cs="仿宋_GB2312"/>
          <w:sz w:val="32"/>
          <w:szCs w:val="32"/>
        </w:rPr>
      </w:pPr>
      <w:r>
        <w:rPr>
          <w:rFonts w:hint="eastAsia" w:ascii="Times New Roman" w:hAnsi="Times New Roman" w:cs="仿宋_GB2312"/>
          <w:sz w:val="32"/>
          <w:szCs w:val="32"/>
        </w:rPr>
        <w:t>（一）贯彻实施国家和省有关建设工程招标投标的法律、法规和政策；</w:t>
      </w:r>
    </w:p>
    <w:p w14:paraId="66A0FBF9">
      <w:pPr>
        <w:ind w:firstLine="632" w:firstLineChars="200"/>
        <w:rPr>
          <w:rFonts w:ascii="Times New Roman" w:hAnsi="Times New Roman" w:cs="仿宋_GB2312"/>
          <w:sz w:val="32"/>
          <w:szCs w:val="32"/>
        </w:rPr>
      </w:pPr>
      <w:r>
        <w:rPr>
          <w:rFonts w:hint="eastAsia" w:ascii="Times New Roman" w:hAnsi="Times New Roman" w:cs="仿宋_GB2312"/>
          <w:sz w:val="32"/>
          <w:szCs w:val="32"/>
        </w:rPr>
        <w:t>（二）审查招标文件、招标条件和招标单位资格；</w:t>
      </w:r>
    </w:p>
    <w:p w14:paraId="6EEAF3E2">
      <w:pPr>
        <w:ind w:firstLine="632" w:firstLineChars="200"/>
        <w:rPr>
          <w:rFonts w:ascii="Times New Roman" w:hAnsi="Times New Roman" w:cs="仿宋_GB2312"/>
          <w:sz w:val="32"/>
          <w:szCs w:val="32"/>
        </w:rPr>
      </w:pPr>
      <w:r>
        <w:rPr>
          <w:rFonts w:hint="eastAsia" w:ascii="Times New Roman" w:hAnsi="Times New Roman" w:cs="仿宋_GB2312"/>
          <w:sz w:val="32"/>
          <w:szCs w:val="32"/>
        </w:rPr>
        <w:t>（三）监督指导评标定标工作；</w:t>
      </w:r>
    </w:p>
    <w:p w14:paraId="0762DC17">
      <w:pPr>
        <w:ind w:firstLine="632" w:firstLineChars="200"/>
        <w:rPr>
          <w:rFonts w:ascii="Times New Roman" w:hAnsi="Times New Roman" w:cs="仿宋_GB2312"/>
          <w:sz w:val="32"/>
          <w:szCs w:val="32"/>
        </w:rPr>
      </w:pPr>
      <w:r>
        <w:rPr>
          <w:rFonts w:hint="eastAsia" w:ascii="Times New Roman" w:hAnsi="Times New Roman" w:cs="仿宋_GB2312"/>
          <w:sz w:val="32"/>
          <w:szCs w:val="32"/>
        </w:rPr>
        <w:t>（四）监督承发包合同的签订和履行；</w:t>
      </w:r>
    </w:p>
    <w:p w14:paraId="7E391B65">
      <w:pPr>
        <w:ind w:firstLine="632" w:firstLineChars="200"/>
        <w:rPr>
          <w:rFonts w:ascii="Times New Roman" w:hAnsi="Times New Roman" w:cs="仿宋_GB2312"/>
          <w:sz w:val="32"/>
          <w:szCs w:val="32"/>
        </w:rPr>
      </w:pPr>
      <w:r>
        <w:rPr>
          <w:rFonts w:hint="eastAsia" w:ascii="Times New Roman" w:hAnsi="Times New Roman" w:cs="仿宋_GB2312"/>
          <w:sz w:val="32"/>
          <w:szCs w:val="32"/>
        </w:rPr>
        <w:t>（五）调解招标投标活动中的纠纷；</w:t>
      </w:r>
    </w:p>
    <w:p w14:paraId="13FEB95F">
      <w:pPr>
        <w:ind w:firstLine="632" w:firstLineChars="200"/>
        <w:rPr>
          <w:rFonts w:ascii="Times New Roman" w:hAnsi="Times New Roman" w:cs="仿宋_GB2312"/>
          <w:sz w:val="32"/>
          <w:szCs w:val="32"/>
        </w:rPr>
      </w:pPr>
      <w:r>
        <w:rPr>
          <w:rFonts w:hint="eastAsia" w:ascii="Times New Roman" w:hAnsi="Times New Roman" w:cs="仿宋_GB2312"/>
          <w:sz w:val="32"/>
          <w:szCs w:val="32"/>
        </w:rPr>
        <w:t>（六）查处违反招标投标规定的行为。</w:t>
      </w:r>
    </w:p>
    <w:p w14:paraId="1AB7EF3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建设工程招标投标按项目建设规模、隶属关系和投资来源，实行分级管理。</w:t>
      </w:r>
    </w:p>
    <w:p w14:paraId="4347802C">
      <w:pPr>
        <w:ind w:firstLine="632" w:firstLineChars="200"/>
        <w:rPr>
          <w:rFonts w:ascii="Times New Roman" w:hAnsi="Times New Roman" w:cs="仿宋_GB2312"/>
          <w:sz w:val="32"/>
          <w:szCs w:val="32"/>
        </w:rPr>
      </w:pPr>
      <w:r>
        <w:rPr>
          <w:rFonts w:hint="eastAsia" w:ascii="Times New Roman" w:hAnsi="Times New Roman" w:cs="仿宋_GB2312"/>
          <w:sz w:val="32"/>
          <w:szCs w:val="32"/>
        </w:rPr>
        <w:t>省住房城乡建设行政主管部门负责国家和省的重点建设工程、省属建设工程、省投资的建设工程和总投资在五千万元（昆明市为一亿元）以上的州（市）、县（市、区）投资的建设工程的监督管理；在上述投资限额以下的州（市）、县（市、区）投资的建设工程，由州（市）、县（市、区）住房城乡建设行政主管部门进行监督管理。</w:t>
      </w:r>
    </w:p>
    <w:p w14:paraId="3BCCFFCB">
      <w:pPr>
        <w:rPr>
          <w:rFonts w:ascii="Times New Roman" w:hAnsi="Times New Roman" w:eastAsia="宋体" w:cs="宋体"/>
          <w:szCs w:val="32"/>
        </w:rPr>
      </w:pPr>
    </w:p>
    <w:p w14:paraId="45FB59C3">
      <w:pPr>
        <w:jc w:val="center"/>
        <w:rPr>
          <w:rFonts w:ascii="Times New Roman" w:hAnsi="Times New Roman" w:eastAsia="黑体" w:cs="黑体"/>
          <w:szCs w:val="32"/>
        </w:rPr>
      </w:pPr>
      <w:r>
        <w:rPr>
          <w:rFonts w:hint="eastAsia" w:ascii="Times New Roman" w:hAnsi="Times New Roman" w:eastAsia="黑体" w:cs="黑体"/>
          <w:szCs w:val="32"/>
        </w:rPr>
        <w:t>第二章　招　　标</w:t>
      </w:r>
    </w:p>
    <w:p w14:paraId="1E8B91FD">
      <w:pPr>
        <w:rPr>
          <w:rFonts w:ascii="Times New Roman" w:hAnsi="Times New Roman" w:eastAsia="宋体" w:cs="宋体"/>
          <w:szCs w:val="32"/>
        </w:rPr>
      </w:pPr>
    </w:p>
    <w:p w14:paraId="661308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建设工程招标应当具备下列条件：</w:t>
      </w:r>
    </w:p>
    <w:p w14:paraId="29C641C7">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（一）建设项目已经批准；</w:t>
      </w:r>
    </w:p>
    <w:p w14:paraId="0387DB69">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（二）建设资金已基本落实；</w:t>
      </w:r>
    </w:p>
    <w:p w14:paraId="2EE531AB">
      <w:pPr>
        <w:ind w:firstLine="632" w:firstLineChars="200"/>
        <w:rPr>
          <w:rFonts w:ascii="Times New Roman" w:hAnsi="Times New Roman" w:cs="仿宋_GB2312"/>
          <w:sz w:val="32"/>
          <w:szCs w:val="32"/>
        </w:rPr>
      </w:pPr>
      <w:r>
        <w:rPr>
          <w:rFonts w:hint="eastAsia" w:ascii="Times New Roman" w:hAnsi="Times New Roman" w:cs="仿宋_GB2312"/>
          <w:sz w:val="32"/>
          <w:szCs w:val="32"/>
        </w:rPr>
        <w:t>（三）已完成建设征地；</w:t>
      </w:r>
    </w:p>
    <w:p w14:paraId="582721CF">
      <w:pPr>
        <w:ind w:firstLine="632" w:firstLineChars="200"/>
        <w:rPr>
          <w:rFonts w:ascii="Times New Roman" w:hAnsi="Times New Roman" w:cs="仿宋_GB2312"/>
          <w:sz w:val="32"/>
          <w:szCs w:val="32"/>
        </w:rPr>
      </w:pPr>
      <w:r>
        <w:rPr>
          <w:rFonts w:hint="eastAsia" w:ascii="Times New Roman" w:hAnsi="Times New Roman" w:cs="仿宋_GB2312"/>
          <w:sz w:val="32"/>
          <w:szCs w:val="32"/>
        </w:rPr>
        <w:t>（四）已列入年度建设计划；</w:t>
      </w:r>
    </w:p>
    <w:p w14:paraId="2A36F459">
      <w:pPr>
        <w:ind w:firstLine="632" w:firstLineChars="200"/>
        <w:rPr>
          <w:rFonts w:ascii="Times New Roman" w:hAnsi="Times New Roman" w:cs="仿宋_GB2312"/>
          <w:sz w:val="32"/>
          <w:szCs w:val="32"/>
        </w:rPr>
      </w:pPr>
      <w:r>
        <w:rPr>
          <w:rFonts w:hint="eastAsia" w:ascii="Times New Roman" w:hAnsi="Times New Roman" w:cs="仿宋_GB2312"/>
          <w:sz w:val="32"/>
          <w:szCs w:val="32"/>
        </w:rPr>
        <w:t>（五）建设项目已办理报建手续。</w:t>
      </w:r>
    </w:p>
    <w:p w14:paraId="449AC2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招标单位应当具备下列条件：</w:t>
      </w:r>
    </w:p>
    <w:p w14:paraId="19227B28">
      <w:pPr>
        <w:ind w:firstLine="632" w:firstLineChars="200"/>
        <w:rPr>
          <w:rFonts w:ascii="Times New Roman" w:hAnsi="Times New Roman" w:cs="仿宋_GB2312"/>
          <w:sz w:val="32"/>
          <w:szCs w:val="32"/>
        </w:rPr>
      </w:pPr>
      <w:r>
        <w:rPr>
          <w:rFonts w:hint="eastAsia" w:ascii="Times New Roman" w:hAnsi="Times New Roman" w:cs="仿宋_GB2312"/>
          <w:sz w:val="32"/>
          <w:szCs w:val="32"/>
        </w:rPr>
        <w:t>（一）具有法人资格；</w:t>
      </w:r>
    </w:p>
    <w:p w14:paraId="06FAE780">
      <w:pPr>
        <w:ind w:firstLine="632" w:firstLineChars="200"/>
        <w:rPr>
          <w:rFonts w:ascii="Times New Roman" w:hAnsi="Times New Roman" w:cs="仿宋_GB2312"/>
          <w:sz w:val="32"/>
          <w:szCs w:val="32"/>
        </w:rPr>
      </w:pPr>
      <w:r>
        <w:rPr>
          <w:rFonts w:hint="eastAsia" w:ascii="Times New Roman" w:hAnsi="Times New Roman" w:cs="仿宋_GB2312"/>
          <w:sz w:val="32"/>
          <w:szCs w:val="32"/>
        </w:rPr>
        <w:t>（二）拥有与招标工程相适应的技术、经济管理人员；</w:t>
      </w:r>
    </w:p>
    <w:p w14:paraId="1889AF72">
      <w:pPr>
        <w:ind w:firstLine="632" w:firstLineChars="200"/>
        <w:rPr>
          <w:rFonts w:ascii="Times New Roman" w:hAnsi="Times New Roman" w:cs="仿宋_GB2312"/>
          <w:sz w:val="32"/>
          <w:szCs w:val="32"/>
        </w:rPr>
      </w:pPr>
      <w:r>
        <w:rPr>
          <w:rFonts w:hint="eastAsia" w:ascii="Times New Roman" w:hAnsi="Times New Roman" w:cs="仿宋_GB2312"/>
          <w:sz w:val="32"/>
          <w:szCs w:val="32"/>
        </w:rPr>
        <w:t>（三）具有编制招标文件和组织开标、评标、定标的能力。</w:t>
      </w:r>
    </w:p>
    <w:p w14:paraId="5D73A421">
      <w:pPr>
        <w:ind w:firstLine="632" w:firstLineChars="200"/>
        <w:rPr>
          <w:rFonts w:ascii="Times New Roman" w:hAnsi="Times New Roman" w:cs="仿宋_GB2312"/>
          <w:sz w:val="32"/>
          <w:szCs w:val="32"/>
        </w:rPr>
      </w:pPr>
      <w:r>
        <w:rPr>
          <w:rFonts w:hint="eastAsia" w:ascii="Times New Roman" w:hAnsi="Times New Roman" w:cs="仿宋_GB2312"/>
          <w:sz w:val="32"/>
          <w:szCs w:val="32"/>
        </w:rPr>
        <w:t>不具备前款规定条件的招标单位，应当委托具有相应资质的招标代理机构代理招标。</w:t>
      </w:r>
    </w:p>
    <w:p w14:paraId="78346EE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建设工程招标方式包括：</w:t>
      </w:r>
    </w:p>
    <w:p w14:paraId="443A62D4">
      <w:pPr>
        <w:ind w:firstLine="632" w:firstLineChars="200"/>
        <w:rPr>
          <w:rFonts w:ascii="Times New Roman" w:hAnsi="Times New Roman" w:cs="仿宋_GB2312"/>
          <w:sz w:val="32"/>
          <w:szCs w:val="32"/>
        </w:rPr>
      </w:pPr>
      <w:r>
        <w:rPr>
          <w:rFonts w:hint="eastAsia" w:ascii="Times New Roman" w:hAnsi="Times New Roman" w:cs="仿宋_GB2312"/>
          <w:sz w:val="32"/>
          <w:szCs w:val="32"/>
        </w:rPr>
        <w:t>（一）公开招标。即由招标单位发布招标公告的招标；</w:t>
      </w:r>
    </w:p>
    <w:p w14:paraId="6F782927">
      <w:pPr>
        <w:ind w:firstLine="632" w:firstLineChars="200"/>
        <w:rPr>
          <w:rFonts w:ascii="Times New Roman" w:hAnsi="Times New Roman" w:cs="仿宋_GB2312"/>
          <w:sz w:val="32"/>
          <w:szCs w:val="32"/>
        </w:rPr>
      </w:pPr>
      <w:r>
        <w:rPr>
          <w:rFonts w:hint="eastAsia" w:ascii="Times New Roman" w:hAnsi="Times New Roman" w:cs="仿宋_GB2312"/>
          <w:sz w:val="32"/>
          <w:szCs w:val="32"/>
        </w:rPr>
        <w:t>（二）邀请招标。即由招标单位向资质符合工程要求的三个以上单位发出邀请的招标。</w:t>
      </w:r>
    </w:p>
    <w:p w14:paraId="15F688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招标单位应当根据招标文件编制工程量清单，工程量清单应当符合国家和省的有关技术经济的法规和政策。招标单位无力编制工程量清单的，可以委托具有相应资质的单位编制。</w:t>
      </w:r>
    </w:p>
    <w:p w14:paraId="5F1D9C40">
      <w:pPr>
        <w:ind w:firstLine="632" w:firstLineChars="200"/>
        <w:rPr>
          <w:rFonts w:ascii="Times New Roman" w:hAnsi="Times New Roman" w:cs="仿宋_GB2312"/>
          <w:sz w:val="32"/>
          <w:szCs w:val="32"/>
        </w:rPr>
      </w:pPr>
      <w:r>
        <w:rPr>
          <w:rFonts w:hint="eastAsia" w:ascii="Times New Roman" w:hAnsi="Times New Roman" w:cs="仿宋_GB2312"/>
          <w:sz w:val="32"/>
          <w:szCs w:val="32"/>
        </w:rPr>
        <w:t>工程量清单编制单位应当对其编制质量及深度负责，并不得同时接受投标单位的投标报价咨询等活动。</w:t>
      </w:r>
    </w:p>
    <w:p w14:paraId="0577C3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招标单位不得与投标单位串通，妨碍公平竞争，不得要求投标单位垫支工程款。</w:t>
      </w:r>
    </w:p>
    <w:p w14:paraId="63F9D234">
      <w:pPr>
        <w:rPr>
          <w:rFonts w:ascii="Times New Roman" w:hAnsi="Times New Roman" w:eastAsia="宋体" w:cs="宋体"/>
          <w:szCs w:val="32"/>
        </w:rPr>
      </w:pPr>
    </w:p>
    <w:p w14:paraId="4927F5DC">
      <w:pPr>
        <w:jc w:val="center"/>
        <w:rPr>
          <w:rFonts w:ascii="Times New Roman" w:hAnsi="Times New Roman" w:eastAsia="黑体" w:cs="黑体"/>
          <w:szCs w:val="32"/>
        </w:rPr>
      </w:pPr>
      <w:r>
        <w:rPr>
          <w:rFonts w:hint="eastAsia" w:ascii="Times New Roman" w:hAnsi="Times New Roman" w:eastAsia="黑体" w:cs="黑体"/>
          <w:szCs w:val="32"/>
        </w:rPr>
        <w:t>第三章　投　　标</w:t>
      </w:r>
    </w:p>
    <w:p w14:paraId="4D62D3A9">
      <w:pPr>
        <w:rPr>
          <w:rFonts w:ascii="Times New Roman" w:hAnsi="Times New Roman" w:eastAsia="宋体" w:cs="宋体"/>
          <w:szCs w:val="32"/>
        </w:rPr>
      </w:pPr>
    </w:p>
    <w:p w14:paraId="6C8C68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凡依法登记注册的项目总承包、勘察、设计、施工、设备供应、建设监理等单位均可参加与其资质等级和经营范围相适应的建设工程投标。</w:t>
      </w:r>
    </w:p>
    <w:p w14:paraId="2BD76FE1">
      <w:pPr>
        <w:ind w:firstLine="632" w:firstLineChars="200"/>
        <w:rPr>
          <w:rFonts w:ascii="Times New Roman" w:hAnsi="Times New Roman" w:cs="仿宋_GB2312"/>
          <w:sz w:val="32"/>
          <w:szCs w:val="32"/>
        </w:rPr>
      </w:pPr>
      <w:r>
        <w:rPr>
          <w:rFonts w:hint="eastAsia" w:ascii="Times New Roman" w:hAnsi="Times New Roman" w:cs="仿宋_GB2312"/>
          <w:sz w:val="32"/>
          <w:szCs w:val="32"/>
        </w:rPr>
        <w:t>两个以上单位联合投标的，应当签订合作承包合同，明确双方的权利、义务以及主承包方，由主承包方代表合作单位参加投标。</w:t>
      </w:r>
    </w:p>
    <w:p w14:paraId="7AEAD65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参加投标的单位，应当按照招标公告或者招标邀请书规定的时间向招标单位提交投标申请。同时还应当提供营业执照、资质等级证书和单位简况等文件。</w:t>
      </w:r>
    </w:p>
    <w:p w14:paraId="705E86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投标单位的投标书应当按照招标文件的内容和要求，遵照国家和省的有关规定，结合本企业的实际情况编制。</w:t>
      </w:r>
    </w:p>
    <w:p w14:paraId="0B3B6EA5">
      <w:pPr>
        <w:ind w:firstLine="632" w:firstLineChars="200"/>
        <w:rPr>
          <w:rFonts w:ascii="Times New Roman" w:hAnsi="Times New Roman" w:cs="仿宋_GB2312"/>
          <w:sz w:val="32"/>
          <w:szCs w:val="32"/>
        </w:rPr>
      </w:pPr>
      <w:r>
        <w:rPr>
          <w:rFonts w:hint="eastAsia" w:ascii="Times New Roman" w:hAnsi="Times New Roman" w:cs="仿宋_GB2312"/>
          <w:sz w:val="32"/>
          <w:szCs w:val="32"/>
        </w:rPr>
        <w:t>投标书必须有单位和法定代表人或者法定代表人委托的代理人的印鉴。投标单位应当在规定的时间内将投标书密封送达招标单位。</w:t>
      </w:r>
    </w:p>
    <w:p w14:paraId="47E1F114">
      <w:pPr>
        <w:ind w:firstLine="632" w:firstLineChars="200"/>
        <w:rPr>
          <w:rFonts w:ascii="Times New Roman" w:hAnsi="Times New Roman" w:cs="仿宋_GB2312"/>
          <w:sz w:val="32"/>
          <w:szCs w:val="32"/>
        </w:rPr>
      </w:pPr>
      <w:r>
        <w:rPr>
          <w:rFonts w:hint="eastAsia" w:ascii="Times New Roman" w:hAnsi="Times New Roman" w:cs="仿宋_GB2312"/>
          <w:sz w:val="32"/>
          <w:szCs w:val="32"/>
        </w:rPr>
        <w:t>投标单位在投标截止以后，不得更改投标书的内容。</w:t>
      </w:r>
    </w:p>
    <w:p w14:paraId="3B94C7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投标单位之间不得串通投标，故意抬高或者压低标价。</w:t>
      </w:r>
    </w:p>
    <w:p w14:paraId="187C74B1">
      <w:pPr>
        <w:rPr>
          <w:rFonts w:ascii="Times New Roman" w:hAnsi="Times New Roman" w:eastAsia="宋体" w:cs="宋体"/>
          <w:szCs w:val="32"/>
        </w:rPr>
      </w:pPr>
    </w:p>
    <w:p w14:paraId="0E71B3EC">
      <w:pPr>
        <w:jc w:val="center"/>
        <w:rPr>
          <w:rFonts w:ascii="Times New Roman" w:hAnsi="Times New Roman" w:eastAsia="黑体" w:cs="黑体"/>
          <w:szCs w:val="32"/>
        </w:rPr>
      </w:pPr>
      <w:r>
        <w:rPr>
          <w:rFonts w:hint="eastAsia" w:ascii="Times New Roman" w:hAnsi="Times New Roman" w:eastAsia="黑体" w:cs="黑体"/>
          <w:szCs w:val="32"/>
        </w:rPr>
        <w:t>第四章　开标、评标和定标</w:t>
      </w:r>
    </w:p>
    <w:p w14:paraId="7B61EFDE">
      <w:pPr>
        <w:rPr>
          <w:rFonts w:ascii="Times New Roman" w:hAnsi="Times New Roman" w:eastAsia="宋体" w:cs="宋体"/>
          <w:szCs w:val="32"/>
        </w:rPr>
      </w:pPr>
    </w:p>
    <w:p w14:paraId="564943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开标、评标和定标活动，在招标投标管理机构和有关部门的监督下，由招标单位主持进行。</w:t>
      </w:r>
    </w:p>
    <w:p w14:paraId="27B890E6">
      <w:pPr>
        <w:ind w:firstLine="632" w:firstLineChars="200"/>
        <w:rPr>
          <w:rFonts w:ascii="Times New Roman" w:hAnsi="Times New Roman" w:cs="仿宋_GB2312"/>
          <w:sz w:val="32"/>
          <w:szCs w:val="32"/>
        </w:rPr>
      </w:pPr>
      <w:r>
        <w:rPr>
          <w:rFonts w:hint="eastAsia" w:ascii="Times New Roman" w:hAnsi="Times New Roman" w:cs="仿宋_GB2312"/>
          <w:sz w:val="32"/>
          <w:szCs w:val="32"/>
        </w:rPr>
        <w:t>招标单位应当邀请上级主管部门、投标单位和有关单位参加开标，宣布评标、定标原则和办法；当众检查、启封投标书；公布各投标书的主要内容及技术经济指标。</w:t>
      </w:r>
    </w:p>
    <w:p w14:paraId="175D85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在启封投标书时发现有下列情形之一的，应当宣布无效：</w:t>
      </w:r>
    </w:p>
    <w:p w14:paraId="3C403A8D">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（一）未密封的；</w:t>
      </w:r>
    </w:p>
    <w:p w14:paraId="76FE939C">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（二）未按招标文件要求填写或者内容不全、字迹模糊、辨认不清的；</w:t>
      </w:r>
    </w:p>
    <w:p w14:paraId="1C898D2B">
      <w:pPr>
        <w:ind w:firstLine="632" w:firstLineChars="200"/>
        <w:rPr>
          <w:rFonts w:ascii="Times New Roman" w:hAnsi="Times New Roman" w:cs="仿宋_GB2312"/>
          <w:sz w:val="32"/>
          <w:szCs w:val="32"/>
        </w:rPr>
      </w:pPr>
      <w:r>
        <w:rPr>
          <w:rFonts w:hint="eastAsia" w:ascii="Times New Roman" w:hAnsi="Times New Roman" w:cs="仿宋_GB2312"/>
          <w:sz w:val="32"/>
          <w:szCs w:val="32"/>
        </w:rPr>
        <w:t>（三）无单位和法定代表人或者法定代表人委托的代理人印鉴的；</w:t>
      </w:r>
    </w:p>
    <w:p w14:paraId="01182C6E">
      <w:pPr>
        <w:ind w:firstLine="632" w:firstLineChars="200"/>
        <w:rPr>
          <w:rFonts w:ascii="Times New Roman" w:hAnsi="Times New Roman" w:cs="仿宋_GB2312"/>
          <w:sz w:val="32"/>
          <w:szCs w:val="32"/>
        </w:rPr>
      </w:pPr>
      <w:r>
        <w:rPr>
          <w:rFonts w:hint="eastAsia" w:ascii="Times New Roman" w:hAnsi="Times New Roman" w:cs="仿宋_GB2312"/>
          <w:sz w:val="32"/>
          <w:szCs w:val="32"/>
        </w:rPr>
        <w:t>（四）逾期送达的；</w:t>
      </w:r>
    </w:p>
    <w:p w14:paraId="0C4195A0">
      <w:pPr>
        <w:ind w:firstLine="632" w:firstLineChars="200"/>
        <w:rPr>
          <w:rFonts w:ascii="Times New Roman" w:hAnsi="Times New Roman" w:cs="仿宋_GB2312"/>
          <w:sz w:val="32"/>
          <w:szCs w:val="32"/>
        </w:rPr>
      </w:pPr>
      <w:r>
        <w:rPr>
          <w:rFonts w:hint="eastAsia" w:ascii="Times New Roman" w:hAnsi="Times New Roman" w:cs="仿宋_GB2312"/>
          <w:sz w:val="32"/>
          <w:szCs w:val="32"/>
        </w:rPr>
        <w:t>（五）投标单位法定代表人或者法定代表人委托的代理人未参加开标会议的。</w:t>
      </w:r>
    </w:p>
    <w:p w14:paraId="3FD18B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评标由招标单位邀请有关主管部门和有关单位的领导、专家、工程技术人员组成的评标委员会或者评标小组负责。评标必须严格按照招标投标条件进行综合评议，择优提出推荐意见。建设单位根据评标委员会或者评标小组的推荐意见确定中标单位。</w:t>
      </w:r>
    </w:p>
    <w:p w14:paraId="09E1B898">
      <w:pPr>
        <w:ind w:firstLine="632" w:firstLineChars="200"/>
        <w:rPr>
          <w:rFonts w:ascii="Times New Roman" w:hAnsi="Times New Roman" w:cs="仿宋_GB2312"/>
          <w:sz w:val="32"/>
          <w:szCs w:val="32"/>
        </w:rPr>
      </w:pPr>
      <w:r>
        <w:rPr>
          <w:rFonts w:hint="eastAsia" w:ascii="Times New Roman" w:hAnsi="Times New Roman" w:cs="仿宋_GB2312"/>
          <w:sz w:val="32"/>
          <w:szCs w:val="32"/>
        </w:rPr>
        <w:t>中标单位确定后，由建设单位发出经招标投标管理机构签证的中标通知书。</w:t>
      </w:r>
    </w:p>
    <w:p w14:paraId="478E867F">
      <w:pPr>
        <w:ind w:firstLine="632" w:firstLineChars="200"/>
        <w:rPr>
          <w:rFonts w:ascii="Times New Roman" w:hAnsi="Times New Roman" w:cs="仿宋_GB2312"/>
          <w:sz w:val="32"/>
          <w:szCs w:val="32"/>
        </w:rPr>
      </w:pPr>
      <w:r>
        <w:rPr>
          <w:rFonts w:hint="eastAsia" w:ascii="Times New Roman" w:hAnsi="Times New Roman" w:cs="仿宋_GB2312"/>
          <w:sz w:val="32"/>
          <w:szCs w:val="32"/>
        </w:rPr>
        <w:t>自中标通知书发出之日起，中标单位与建设单位应当在三十日内根据招标文件及投标文件签订工程承发包合同。</w:t>
      </w:r>
    </w:p>
    <w:p w14:paraId="64CB1009">
      <w:pPr>
        <w:ind w:firstLine="632" w:firstLineChars="200"/>
        <w:rPr>
          <w:rFonts w:ascii="Times New Roman" w:hAnsi="Times New Roman" w:cs="仿宋_GB2312"/>
          <w:sz w:val="32"/>
          <w:szCs w:val="32"/>
        </w:rPr>
      </w:pPr>
      <w:r>
        <w:rPr>
          <w:rFonts w:hint="eastAsia" w:ascii="Times New Roman" w:hAnsi="Times New Roman" w:cs="仿宋_GB2312"/>
          <w:sz w:val="32"/>
          <w:szCs w:val="32"/>
        </w:rPr>
        <w:t>招标投标工作中发生的费用，由建设单位和中标单位支付。</w:t>
      </w:r>
    </w:p>
    <w:p w14:paraId="695D0CBB">
      <w:pPr>
        <w:rPr>
          <w:rFonts w:ascii="Times New Roman" w:hAnsi="Times New Roman" w:eastAsia="宋体" w:cs="宋体"/>
          <w:szCs w:val="32"/>
        </w:rPr>
      </w:pPr>
    </w:p>
    <w:p w14:paraId="6FCA44D9">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14:paraId="7D487D44">
      <w:pPr>
        <w:rPr>
          <w:rFonts w:ascii="Times New Roman" w:hAnsi="Times New Roman" w:eastAsia="宋体" w:cs="宋体"/>
          <w:szCs w:val="32"/>
        </w:rPr>
      </w:pPr>
    </w:p>
    <w:p w14:paraId="510B73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招标单位违反本条例规定，隐瞒工程真实情况，欺骗投标单位的，招标无效，由县以上住房城乡建设行政主管部门处中标项目金额千分之五以上千分之十以下的罚款，对单位直接负责的主管人员和其他直接责任人员依法给予处分。</w:t>
      </w:r>
    </w:p>
    <w:p w14:paraId="45FB620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当事人对行政处罚决定不服的，可以依法申请复议或者提起诉讼。当事人逾期不申请复议、不起诉，又不履行处罚决定的，作出处罚决定的机关依法申请人民法院强制执行。</w:t>
      </w:r>
    </w:p>
    <w:p w14:paraId="2F592A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违反本条例规定的其他行为，本条例未作处罚规定的，依照有关法律、行政法规的规定予以处罚。</w:t>
      </w:r>
    </w:p>
    <w:p w14:paraId="3E9888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参与招标投标工作的有关人员，玩忽职守、滥用职权、徇私舞弊的，由其所在单位或者上级主管部门给予行政处分；构成犯罪的，依法追究刑事责任。</w:t>
      </w:r>
    </w:p>
    <w:p w14:paraId="2F6460F3">
      <w:pPr>
        <w:rPr>
          <w:rFonts w:ascii="Times New Roman" w:hAnsi="Times New Roman" w:eastAsia="宋体" w:cs="宋体"/>
          <w:szCs w:val="32"/>
        </w:rPr>
      </w:pPr>
    </w:p>
    <w:p w14:paraId="54CE624B">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66C9966C">
      <w:pPr>
        <w:rPr>
          <w:rFonts w:ascii="Times New Roman" w:hAnsi="Times New Roman" w:eastAsia="宋体" w:cs="宋体"/>
          <w:szCs w:val="32"/>
        </w:rPr>
      </w:pPr>
    </w:p>
    <w:p w14:paraId="4EFEC6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本条例自1997年1月1日起施行。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A7E0F2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2756</Words>
  <Characters>2777</Characters>
  <Lines>87</Lines>
  <Paragraphs>24</Paragraphs>
  <TotalTime>4</TotalTime>
  <ScaleCrop>false</ScaleCrop>
  <LinksUpToDate>false</LinksUpToDate>
  <CharactersWithSpaces>2834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2024-12-19T15:05:51Z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2596E087E4044598BE72DBAB49EBA18F_13</vt:lpwstr>
  </property>
  <property fmtid="{D5CDD505-2E9C-101B-9397-08002B2CF9AE}" pid="3" name="KSOProductBuildVer">
    <vt:lpwstr>2052-12.1.0.19302</vt:lpwstr>
  </property>
</Properties>
</file>