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widowControl w:val="0"/>
        <w:spacing w:line="560" w:lineRule="exact"/>
        <w:ind w:firstLine="632" w:firstLineChars="200"/>
        <w:rPr>
          <w:rFonts w:hint="eastAsia"/>
        </w:rPr>
      </w:pPr>
    </w:p>
    <w:p>
      <w:pPr>
        <w:pStyle w:val="5"/>
        <w:widowControl w:val="0"/>
        <w:spacing w:line="560" w:lineRule="exact"/>
        <w:ind w:firstLine="632" w:firstLineChars="200"/>
      </w:pPr>
    </w:p>
    <w:p>
      <w:pPr>
        <w:pStyle w:val="5"/>
        <w:widowControl w:val="0"/>
        <w:spacing w:line="560" w:lineRule="exact"/>
        <w:jc w:val="center"/>
        <w:rPr>
          <w:rFonts w:hint="eastAsia" w:eastAsia="宋体"/>
          <w:sz w:val="44"/>
          <w:szCs w:val="44"/>
        </w:rPr>
      </w:pPr>
      <w:r>
        <w:rPr>
          <w:rFonts w:hint="eastAsia" w:eastAsia="宋体"/>
          <w:sz w:val="44"/>
          <w:szCs w:val="44"/>
        </w:rPr>
        <w:t>湖北省各级人民代表大会常务委员会</w:t>
      </w:r>
    </w:p>
    <w:p>
      <w:pPr>
        <w:pStyle w:val="5"/>
        <w:widowControl w:val="0"/>
        <w:spacing w:line="560" w:lineRule="exact"/>
        <w:jc w:val="center"/>
        <w:rPr>
          <w:rFonts w:eastAsia="宋体"/>
          <w:sz w:val="44"/>
          <w:szCs w:val="44"/>
        </w:rPr>
      </w:pPr>
      <w:r>
        <w:rPr>
          <w:rFonts w:hint="eastAsia" w:eastAsia="宋体"/>
          <w:sz w:val="44"/>
          <w:szCs w:val="44"/>
        </w:rPr>
        <w:t>讨论、决定重大事项的规定</w:t>
      </w:r>
      <w:bookmarkStart w:id="0" w:name="_GoBack"/>
      <w:bookmarkEnd w:id="0"/>
    </w:p>
    <w:p>
      <w:pPr>
        <w:pStyle w:val="5"/>
        <w:widowControl w:val="0"/>
        <w:spacing w:line="560" w:lineRule="exact"/>
        <w:ind w:firstLine="632" w:firstLineChars="200"/>
      </w:pPr>
    </w:p>
    <w:p>
      <w:pPr>
        <w:pStyle w:val="5"/>
        <w:keepNext w:val="0"/>
        <w:keepLines w:val="0"/>
        <w:pageBreakBefore w:val="0"/>
        <w:widowControl w:val="0"/>
        <w:kinsoku/>
        <w:wordWrap/>
        <w:overflowPunct/>
        <w:topLinePunct w:val="0"/>
        <w:autoSpaceDE/>
        <w:autoSpaceDN/>
        <w:bidi w:val="0"/>
        <w:adjustRightInd/>
        <w:snapToGrid/>
        <w:spacing w:line="560" w:lineRule="exact"/>
        <w:ind w:left="412" w:leftChars="200" w:right="412" w:rightChars="200" w:firstLine="0" w:firstLineChars="0"/>
        <w:jc w:val="both"/>
        <w:textAlignment w:val="auto"/>
        <w:outlineLvl w:val="9"/>
        <w:rPr>
          <w:rFonts w:hint="eastAsia" w:ascii="楷体_GB2312" w:hAnsi="楷体_GB2312" w:eastAsia="楷体_GB2312" w:cs="楷体_GB2312"/>
        </w:rPr>
      </w:pPr>
      <w:r>
        <w:rPr>
          <w:rFonts w:hint="eastAsia" w:ascii="楷体_GB2312" w:hAnsi="楷体_GB2312" w:eastAsia="楷体_GB2312" w:cs="楷体_GB2312"/>
        </w:rPr>
        <w:t>（1999年12月13日湖北省第九届人民代表大会常务委员会第十四次会议通过</w:t>
      </w:r>
      <w:r>
        <w:rPr>
          <w:rFonts w:hint="eastAsia" w:ascii="楷体_GB2312" w:hAnsi="楷体_GB2312" w:eastAsia="楷体_GB2312" w:cs="楷体_GB2312"/>
          <w:lang w:val="en-US" w:eastAsia="zh-CN"/>
        </w:rPr>
        <w:t xml:space="preserve">  </w:t>
      </w:r>
      <w:r>
        <w:rPr>
          <w:rFonts w:hint="eastAsia" w:ascii="楷体_GB2312" w:hAnsi="楷体_GB2312" w:eastAsia="楷体_GB2312" w:cs="楷体_GB2312"/>
        </w:rPr>
        <w:t>2017年9月29日湖北省第十二届人民代表大会常务委员会第三十次会议修订）</w:t>
      </w:r>
    </w:p>
    <w:p>
      <w:pPr>
        <w:pStyle w:val="5"/>
        <w:widowControl w:val="0"/>
        <w:spacing w:line="560" w:lineRule="exact"/>
        <w:ind w:left="412" w:leftChars="200" w:right="412" w:rightChars="200"/>
        <w:jc w:val="both"/>
        <w:rPr>
          <w:rFonts w:hint="eastAsia" w:ascii="楷体_GB2312" w:hAnsi="楷体_GB2312" w:eastAsia="黑体" w:cs="楷体_GB2312"/>
        </w:rPr>
      </w:pPr>
    </w:p>
    <w:p>
      <w:pPr>
        <w:pStyle w:val="5"/>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2" w:firstLineChars="200"/>
        <w:jc w:val="left"/>
        <w:textAlignment w:val="auto"/>
        <w:outlineLvl w:val="9"/>
        <w:rPr>
          <w:rFonts w:hint="eastAsia" w:ascii="仿宋_GB2312" w:hAnsi="仿宋_GB2312" w:eastAsia="仿宋_GB2312" w:cs="仿宋_GB2312"/>
        </w:rPr>
      </w:pPr>
      <w:r>
        <w:rPr>
          <w:rFonts w:hint="eastAsia" w:ascii="仿宋_GB2312" w:hAnsi="仿宋_GB2312" w:eastAsia="黑体" w:cs="仿宋_GB2312"/>
        </w:rPr>
        <w:t>第一条</w:t>
      </w:r>
      <w:r>
        <w:rPr>
          <w:rFonts w:hint="eastAsia" w:ascii="仿宋_GB2312" w:hAnsi="仿宋_GB2312" w:eastAsia="仿宋_GB2312" w:cs="仿宋_GB2312"/>
        </w:rPr>
        <w:t xml:space="preserve">  为了保障和规范本省各级人民代表大会常务委员会（以下简称人大常委会）依法行使讨论、决定重大事项的职权，根据宪法和有关法律的规定，结合本省实际，制定本规定。</w:t>
      </w:r>
    </w:p>
    <w:p>
      <w:pPr>
        <w:pStyle w:val="5"/>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2" w:firstLineChars="200"/>
        <w:jc w:val="left"/>
        <w:textAlignment w:val="auto"/>
        <w:outlineLvl w:val="9"/>
        <w:rPr>
          <w:rFonts w:hint="eastAsia" w:ascii="仿宋_GB2312" w:hAnsi="仿宋_GB2312" w:eastAsia="仿宋_GB2312" w:cs="仿宋_GB2312"/>
        </w:rPr>
      </w:pPr>
      <w:r>
        <w:rPr>
          <w:rFonts w:hint="eastAsia" w:ascii="仿宋_GB2312" w:hAnsi="仿宋_GB2312" w:eastAsia="黑体" w:cs="仿宋_GB2312"/>
        </w:rPr>
        <w:t>第二条</w:t>
      </w:r>
      <w:r>
        <w:rPr>
          <w:rFonts w:hint="eastAsia" w:ascii="仿宋_GB2312" w:hAnsi="仿宋_GB2312" w:eastAsia="仿宋_GB2312" w:cs="仿宋_GB2312"/>
        </w:rPr>
        <w:t xml:space="preserve">  本规定适用于本省各级人大常委会讨论、决定本行政区域内经济建设、政治建设、文化建设、社会建设、生态文明建设中，关系改革发展稳定大局和人民群众切身利益、社会普遍关注的重大事项。</w:t>
      </w:r>
    </w:p>
    <w:p>
      <w:pPr>
        <w:pStyle w:val="5"/>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2" w:firstLineChars="200"/>
        <w:jc w:val="left"/>
        <w:textAlignment w:val="auto"/>
        <w:outlineLvl w:val="9"/>
        <w:rPr>
          <w:rFonts w:hint="eastAsia" w:ascii="仿宋_GB2312" w:hAnsi="仿宋_GB2312" w:eastAsia="仿宋_GB2312" w:cs="仿宋_GB2312"/>
        </w:rPr>
      </w:pPr>
      <w:r>
        <w:rPr>
          <w:rFonts w:hint="eastAsia" w:ascii="仿宋_GB2312" w:hAnsi="仿宋_GB2312" w:eastAsia="黑体" w:cs="仿宋_GB2312"/>
        </w:rPr>
        <w:t>第三条</w:t>
      </w:r>
      <w:r>
        <w:rPr>
          <w:rFonts w:hint="eastAsia" w:ascii="仿宋_GB2312" w:hAnsi="仿宋_GB2312" w:eastAsia="仿宋_GB2312" w:cs="仿宋_GB2312"/>
        </w:rPr>
        <w:t xml:space="preserve">  人大常委会讨论、决定重大事项，应当坚持党的领导、人民当家作主、依法治国有机统一，坚持围绕中心、服务大局，坚持民主集中制、集体行使职权，坚持科学决策、民主决策、依法决策，促进经济社会发展和民主法治建设。</w:t>
      </w:r>
    </w:p>
    <w:p>
      <w:pPr>
        <w:pStyle w:val="5"/>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2" w:firstLineChars="200"/>
        <w:jc w:val="left"/>
        <w:textAlignment w:val="auto"/>
        <w:outlineLvl w:val="9"/>
        <w:rPr>
          <w:rFonts w:hint="eastAsia" w:ascii="仿宋_GB2312" w:hAnsi="仿宋_GB2312" w:eastAsia="仿宋_GB2312" w:cs="仿宋_GB2312"/>
        </w:rPr>
      </w:pPr>
      <w:r>
        <w:rPr>
          <w:rFonts w:hint="eastAsia" w:ascii="仿宋_GB2312" w:hAnsi="仿宋_GB2312" w:eastAsia="仿宋_GB2312" w:cs="仿宋_GB2312"/>
        </w:rPr>
        <w:t>人大常委会讨论、决定重大事项的情况，应当向本级人民代表大会报告，并向社会公开，接受监督。</w:t>
      </w:r>
    </w:p>
    <w:p>
      <w:pPr>
        <w:pStyle w:val="5"/>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2" w:firstLineChars="200"/>
        <w:jc w:val="left"/>
        <w:textAlignment w:val="auto"/>
        <w:outlineLvl w:val="9"/>
        <w:rPr>
          <w:rFonts w:hint="eastAsia" w:ascii="仿宋_GB2312" w:hAnsi="仿宋_GB2312" w:eastAsia="仿宋_GB2312" w:cs="仿宋_GB2312"/>
        </w:rPr>
      </w:pPr>
      <w:r>
        <w:rPr>
          <w:rFonts w:hint="eastAsia" w:ascii="仿宋_GB2312" w:hAnsi="仿宋_GB2312" w:eastAsia="黑体" w:cs="仿宋_GB2312"/>
        </w:rPr>
        <w:t>第四条</w:t>
      </w:r>
      <w:r>
        <w:rPr>
          <w:rFonts w:hint="eastAsia" w:ascii="仿宋_GB2312" w:hAnsi="仿宋_GB2312" w:eastAsia="仿宋_GB2312" w:cs="仿宋_GB2312"/>
        </w:rPr>
        <w:t xml:space="preserve">  人大常委会对重大事项作出的决议、决定具有法律效力，本行政区域内的国家机关、组织和个人都应当遵守和执行。</w:t>
      </w:r>
    </w:p>
    <w:p>
      <w:pPr>
        <w:pStyle w:val="5"/>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2" w:firstLineChars="200"/>
        <w:jc w:val="left"/>
        <w:textAlignment w:val="auto"/>
        <w:outlineLvl w:val="9"/>
        <w:rPr>
          <w:rFonts w:hint="eastAsia" w:ascii="仿宋_GB2312" w:hAnsi="仿宋_GB2312" w:eastAsia="仿宋_GB2312" w:cs="仿宋_GB2312"/>
        </w:rPr>
      </w:pPr>
      <w:r>
        <w:rPr>
          <w:rFonts w:hint="eastAsia" w:ascii="仿宋_GB2312" w:hAnsi="仿宋_GB2312" w:eastAsia="黑体" w:cs="仿宋_GB2312"/>
        </w:rPr>
        <w:t>第五条</w:t>
      </w:r>
      <w:r>
        <w:rPr>
          <w:rFonts w:hint="eastAsia" w:ascii="仿宋_GB2312" w:hAnsi="仿宋_GB2312" w:eastAsia="仿宋_GB2312" w:cs="仿宋_GB2312"/>
        </w:rPr>
        <w:t xml:space="preserve">  人民政府、人民法院、人民检察院应当建立完善相关制度，在作出重大决策前依法向本级人大常委会报告。</w:t>
      </w:r>
    </w:p>
    <w:p>
      <w:pPr>
        <w:pStyle w:val="5"/>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2" w:firstLineChars="200"/>
        <w:jc w:val="left"/>
        <w:textAlignment w:val="auto"/>
        <w:outlineLvl w:val="9"/>
        <w:rPr>
          <w:rFonts w:hint="eastAsia" w:ascii="仿宋_GB2312" w:hAnsi="仿宋_GB2312" w:eastAsia="仿宋_GB2312" w:cs="仿宋_GB2312"/>
        </w:rPr>
      </w:pPr>
      <w:r>
        <w:rPr>
          <w:rFonts w:hint="eastAsia" w:ascii="仿宋_GB2312" w:hAnsi="仿宋_GB2312" w:eastAsia="黑体" w:cs="仿宋_GB2312"/>
        </w:rPr>
        <w:t>第六条</w:t>
      </w:r>
      <w:r>
        <w:rPr>
          <w:rFonts w:hint="eastAsia" w:ascii="仿宋_GB2312" w:hAnsi="仿宋_GB2312" w:eastAsia="仿宋_GB2312" w:cs="仿宋_GB2312"/>
        </w:rPr>
        <w:t xml:space="preserve">  下列重大事项，应当向人大常委会报告，由人大常委会审议，并作出决议、决定：</w:t>
      </w:r>
    </w:p>
    <w:p>
      <w:pPr>
        <w:pStyle w:val="5"/>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2" w:firstLineChars="200"/>
        <w:jc w:val="left"/>
        <w:textAlignment w:val="auto"/>
        <w:outlineLvl w:val="9"/>
        <w:rPr>
          <w:rFonts w:hint="eastAsia" w:ascii="仿宋_GB2312" w:hAnsi="仿宋_GB2312" w:eastAsia="仿宋_GB2312" w:cs="仿宋_GB2312"/>
        </w:rPr>
      </w:pPr>
      <w:r>
        <w:rPr>
          <w:rFonts w:hint="eastAsia" w:ascii="仿宋_GB2312" w:hAnsi="仿宋_GB2312" w:eastAsia="仿宋_GB2312" w:cs="仿宋_GB2312"/>
        </w:rPr>
        <w:t>（一）同级党委建议人大常委会讨论、决定的重大事项；</w:t>
      </w:r>
    </w:p>
    <w:p>
      <w:pPr>
        <w:pStyle w:val="5"/>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2" w:firstLineChars="200"/>
        <w:jc w:val="left"/>
        <w:textAlignment w:val="auto"/>
        <w:outlineLvl w:val="9"/>
        <w:rPr>
          <w:rFonts w:hint="eastAsia" w:ascii="仿宋_GB2312" w:hAnsi="仿宋_GB2312" w:eastAsia="仿宋_GB2312" w:cs="仿宋_GB2312"/>
        </w:rPr>
      </w:pPr>
      <w:r>
        <w:rPr>
          <w:rFonts w:hint="eastAsia" w:ascii="仿宋_GB2312" w:hAnsi="仿宋_GB2312" w:eastAsia="仿宋_GB2312" w:cs="仿宋_GB2312"/>
        </w:rPr>
        <w:t>（二）贯彻执行宪法、法律、法规和上级以及本级人民代表大会及其常务委员会决议、决定的重大措施，加强社会主义民主法治建设的重大措施；</w:t>
      </w:r>
    </w:p>
    <w:p>
      <w:pPr>
        <w:pStyle w:val="5"/>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2" w:firstLineChars="200"/>
        <w:jc w:val="left"/>
        <w:textAlignment w:val="auto"/>
        <w:outlineLvl w:val="9"/>
        <w:rPr>
          <w:rFonts w:hint="eastAsia" w:ascii="仿宋_GB2312" w:hAnsi="仿宋_GB2312" w:eastAsia="仿宋_GB2312" w:cs="仿宋_GB2312"/>
        </w:rPr>
      </w:pPr>
      <w:r>
        <w:rPr>
          <w:rFonts w:hint="eastAsia" w:ascii="仿宋_GB2312" w:hAnsi="仿宋_GB2312" w:eastAsia="仿宋_GB2312" w:cs="仿宋_GB2312"/>
        </w:rPr>
        <w:t>（三）本级人民代表大会授权人大常委会讨论、决定的重大事项；</w:t>
      </w:r>
    </w:p>
    <w:p>
      <w:pPr>
        <w:pStyle w:val="5"/>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2" w:firstLineChars="200"/>
        <w:jc w:val="left"/>
        <w:textAlignment w:val="auto"/>
        <w:outlineLvl w:val="9"/>
        <w:rPr>
          <w:rFonts w:hint="eastAsia" w:ascii="仿宋_GB2312" w:hAnsi="仿宋_GB2312" w:eastAsia="仿宋_GB2312" w:cs="仿宋_GB2312"/>
        </w:rPr>
      </w:pPr>
      <w:r>
        <w:rPr>
          <w:rFonts w:hint="eastAsia" w:ascii="仿宋_GB2312" w:hAnsi="仿宋_GB2312" w:eastAsia="仿宋_GB2312" w:cs="仿宋_GB2312"/>
        </w:rPr>
        <w:t>（四）需要人大常委会授权依法开展的重大改革措施；</w:t>
      </w:r>
    </w:p>
    <w:p>
      <w:pPr>
        <w:pStyle w:val="5"/>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2" w:firstLineChars="200"/>
        <w:jc w:val="left"/>
        <w:textAlignment w:val="auto"/>
        <w:outlineLvl w:val="9"/>
        <w:rPr>
          <w:rFonts w:hint="eastAsia" w:ascii="仿宋_GB2312" w:hAnsi="仿宋_GB2312" w:eastAsia="仿宋_GB2312" w:cs="仿宋_GB2312"/>
        </w:rPr>
      </w:pPr>
      <w:r>
        <w:rPr>
          <w:rFonts w:hint="eastAsia" w:ascii="仿宋_GB2312" w:hAnsi="仿宋_GB2312" w:eastAsia="仿宋_GB2312" w:cs="仿宋_GB2312"/>
        </w:rPr>
        <w:t>（五）本级人民政府对国民经济和社会发展五年规划、年度计划的调整方案；</w:t>
      </w:r>
    </w:p>
    <w:p>
      <w:pPr>
        <w:pStyle w:val="5"/>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2" w:firstLineChars="200"/>
        <w:jc w:val="left"/>
        <w:textAlignment w:val="auto"/>
        <w:outlineLvl w:val="9"/>
        <w:rPr>
          <w:rFonts w:hint="eastAsia" w:ascii="仿宋_GB2312" w:hAnsi="仿宋_GB2312" w:eastAsia="仿宋_GB2312" w:cs="仿宋_GB2312"/>
        </w:rPr>
      </w:pPr>
      <w:r>
        <w:rPr>
          <w:rFonts w:hint="eastAsia" w:ascii="仿宋_GB2312" w:hAnsi="仿宋_GB2312" w:eastAsia="仿宋_GB2312" w:cs="仿宋_GB2312"/>
        </w:rPr>
        <w:t>(六)本级预算调整方案、地方政府债务限额和上一年度决算；</w:t>
      </w:r>
    </w:p>
    <w:p>
      <w:pPr>
        <w:pStyle w:val="5"/>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2" w:firstLineChars="200"/>
        <w:jc w:val="left"/>
        <w:textAlignment w:val="auto"/>
        <w:outlineLvl w:val="9"/>
        <w:rPr>
          <w:rFonts w:hint="eastAsia" w:ascii="仿宋_GB2312" w:hAnsi="仿宋_GB2312" w:eastAsia="仿宋_GB2312" w:cs="仿宋_GB2312"/>
        </w:rPr>
      </w:pPr>
      <w:r>
        <w:rPr>
          <w:rFonts w:hint="eastAsia" w:ascii="仿宋_GB2312" w:hAnsi="仿宋_GB2312" w:eastAsia="仿宋_GB2312" w:cs="仿宋_GB2312"/>
        </w:rPr>
        <w:t>（七）人民代表大会换届选举工作中的有关重大事项；</w:t>
      </w:r>
    </w:p>
    <w:p>
      <w:pPr>
        <w:pStyle w:val="5"/>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2" w:firstLineChars="200"/>
        <w:jc w:val="left"/>
        <w:textAlignment w:val="auto"/>
        <w:outlineLvl w:val="9"/>
        <w:rPr>
          <w:rFonts w:hint="eastAsia" w:ascii="仿宋_GB2312" w:hAnsi="仿宋_GB2312" w:eastAsia="仿宋_GB2312" w:cs="仿宋_GB2312"/>
        </w:rPr>
      </w:pPr>
      <w:r>
        <w:rPr>
          <w:rFonts w:hint="eastAsia" w:ascii="仿宋_GB2312" w:hAnsi="仿宋_GB2312" w:eastAsia="仿宋_GB2312" w:cs="仿宋_GB2312"/>
        </w:rPr>
        <w:t>（八）撤销本级人民政府不适当的决定和命令；</w:t>
      </w:r>
    </w:p>
    <w:p>
      <w:pPr>
        <w:pStyle w:val="5"/>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2" w:firstLineChars="200"/>
        <w:jc w:val="left"/>
        <w:textAlignment w:val="auto"/>
        <w:outlineLvl w:val="9"/>
        <w:rPr>
          <w:rFonts w:hint="eastAsia" w:ascii="仿宋_GB2312" w:hAnsi="仿宋_GB2312" w:eastAsia="仿宋_GB2312" w:cs="仿宋_GB2312"/>
        </w:rPr>
      </w:pPr>
      <w:r>
        <w:rPr>
          <w:rFonts w:hint="eastAsia" w:ascii="仿宋_GB2312" w:hAnsi="仿宋_GB2312" w:eastAsia="仿宋_GB2312" w:cs="仿宋_GB2312"/>
        </w:rPr>
        <w:t>（九）撤销下一级人民代表大会及其常务委员会不适当的决议、决定；</w:t>
      </w:r>
    </w:p>
    <w:p>
      <w:pPr>
        <w:pStyle w:val="5"/>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2" w:firstLineChars="200"/>
        <w:jc w:val="left"/>
        <w:textAlignment w:val="auto"/>
        <w:outlineLvl w:val="9"/>
        <w:rPr>
          <w:rFonts w:hint="eastAsia" w:ascii="仿宋_GB2312" w:hAnsi="仿宋_GB2312" w:eastAsia="仿宋_GB2312" w:cs="仿宋_GB2312"/>
        </w:rPr>
      </w:pPr>
      <w:r>
        <w:rPr>
          <w:rFonts w:hint="eastAsia" w:ascii="仿宋_GB2312" w:hAnsi="仿宋_GB2312" w:eastAsia="仿宋_GB2312" w:cs="仿宋_GB2312"/>
        </w:rPr>
        <w:t>（十）授予或者撤销地方的荣誉称号；</w:t>
      </w:r>
    </w:p>
    <w:p>
      <w:pPr>
        <w:pStyle w:val="5"/>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2" w:firstLineChars="200"/>
        <w:jc w:val="left"/>
        <w:textAlignment w:val="auto"/>
        <w:outlineLvl w:val="9"/>
        <w:rPr>
          <w:rFonts w:hint="eastAsia" w:ascii="仿宋_GB2312" w:hAnsi="仿宋_GB2312" w:eastAsia="仿宋_GB2312" w:cs="仿宋_GB2312"/>
        </w:rPr>
      </w:pPr>
      <w:r>
        <w:rPr>
          <w:rFonts w:hint="eastAsia" w:ascii="仿宋_GB2312" w:hAnsi="仿宋_GB2312" w:eastAsia="仿宋_GB2312" w:cs="仿宋_GB2312"/>
        </w:rPr>
        <w:t>（十一）法律、法规规定应当由人大常委会讨论、决定的其他重大事项。</w:t>
      </w:r>
    </w:p>
    <w:p>
      <w:pPr>
        <w:pStyle w:val="5"/>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2" w:firstLineChars="200"/>
        <w:jc w:val="left"/>
        <w:textAlignment w:val="auto"/>
        <w:outlineLvl w:val="9"/>
        <w:rPr>
          <w:rFonts w:hint="eastAsia" w:ascii="仿宋_GB2312" w:hAnsi="仿宋_GB2312" w:eastAsia="仿宋_GB2312" w:cs="仿宋_GB2312"/>
        </w:rPr>
      </w:pPr>
      <w:r>
        <w:rPr>
          <w:rFonts w:hint="eastAsia" w:ascii="仿宋_GB2312" w:hAnsi="仿宋_GB2312" w:eastAsia="黑体" w:cs="仿宋_GB2312"/>
        </w:rPr>
        <w:t>第七条</w:t>
      </w:r>
      <w:r>
        <w:rPr>
          <w:rFonts w:hint="eastAsia" w:ascii="仿宋_GB2312" w:hAnsi="仿宋_GB2312" w:eastAsia="仿宋_GB2312" w:cs="仿宋_GB2312"/>
        </w:rPr>
        <w:t xml:space="preserve">  下列重大事项，应当向人大常委会报告，由人大常委会审议提出意见、建议，根据需要可以作出决议、决定：</w:t>
      </w:r>
    </w:p>
    <w:p>
      <w:pPr>
        <w:pStyle w:val="5"/>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2" w:firstLineChars="200"/>
        <w:jc w:val="left"/>
        <w:textAlignment w:val="auto"/>
        <w:outlineLvl w:val="9"/>
        <w:rPr>
          <w:rFonts w:hint="eastAsia" w:ascii="仿宋_GB2312" w:hAnsi="仿宋_GB2312" w:eastAsia="仿宋_GB2312" w:cs="仿宋_GB2312"/>
        </w:rPr>
      </w:pPr>
      <w:r>
        <w:rPr>
          <w:rFonts w:hint="eastAsia" w:ascii="仿宋_GB2312" w:hAnsi="仿宋_GB2312" w:eastAsia="仿宋_GB2312" w:cs="仿宋_GB2312"/>
        </w:rPr>
        <w:t>（一）推进依法行政、公正司法的重大决策部署；</w:t>
      </w:r>
    </w:p>
    <w:p>
      <w:pPr>
        <w:pStyle w:val="5"/>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2" w:firstLineChars="200"/>
        <w:jc w:val="left"/>
        <w:textAlignment w:val="auto"/>
        <w:outlineLvl w:val="9"/>
        <w:rPr>
          <w:rFonts w:hint="eastAsia" w:ascii="仿宋_GB2312" w:hAnsi="仿宋_GB2312" w:eastAsia="仿宋_GB2312" w:cs="仿宋_GB2312"/>
        </w:rPr>
      </w:pPr>
      <w:r>
        <w:rPr>
          <w:rFonts w:hint="eastAsia" w:ascii="仿宋_GB2312" w:hAnsi="仿宋_GB2312" w:eastAsia="仿宋_GB2312" w:cs="仿宋_GB2312"/>
        </w:rPr>
        <w:t>（二）涉及经济社会发展全局和人民群众切身利益、社会普遍关注的重大民生事项和建设项目；</w:t>
      </w:r>
    </w:p>
    <w:p>
      <w:pPr>
        <w:pStyle w:val="5"/>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2" w:firstLineChars="200"/>
        <w:jc w:val="left"/>
        <w:textAlignment w:val="auto"/>
        <w:outlineLvl w:val="9"/>
        <w:rPr>
          <w:rFonts w:hint="eastAsia" w:ascii="仿宋_GB2312" w:hAnsi="仿宋_GB2312" w:eastAsia="仿宋_GB2312" w:cs="仿宋_GB2312"/>
        </w:rPr>
      </w:pPr>
      <w:r>
        <w:rPr>
          <w:rFonts w:hint="eastAsia" w:ascii="仿宋_GB2312" w:hAnsi="仿宋_GB2312" w:eastAsia="仿宋_GB2312" w:cs="仿宋_GB2312"/>
        </w:rPr>
        <w:t>（三）上半年国民经济和社会发展计划、预算的执行情况；</w:t>
      </w:r>
    </w:p>
    <w:p>
      <w:pPr>
        <w:pStyle w:val="5"/>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2" w:firstLineChars="200"/>
        <w:jc w:val="left"/>
        <w:textAlignment w:val="auto"/>
        <w:outlineLvl w:val="9"/>
        <w:rPr>
          <w:rFonts w:hint="eastAsia" w:ascii="仿宋_GB2312" w:hAnsi="仿宋_GB2312" w:eastAsia="仿宋_GB2312" w:cs="仿宋_GB2312"/>
        </w:rPr>
      </w:pPr>
      <w:r>
        <w:rPr>
          <w:rFonts w:hint="eastAsia" w:ascii="仿宋_GB2312" w:hAnsi="仿宋_GB2312" w:eastAsia="仿宋_GB2312" w:cs="仿宋_GB2312"/>
        </w:rPr>
        <w:t>（四）上一年度预算执行和其他财政收支的审计情况以及查出问题整改情况；</w:t>
      </w:r>
    </w:p>
    <w:p>
      <w:pPr>
        <w:pStyle w:val="5"/>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2" w:firstLineChars="200"/>
        <w:jc w:val="left"/>
        <w:textAlignment w:val="auto"/>
        <w:outlineLvl w:val="9"/>
        <w:rPr>
          <w:rFonts w:hint="eastAsia" w:ascii="仿宋_GB2312" w:hAnsi="仿宋_GB2312" w:eastAsia="仿宋_GB2312" w:cs="仿宋_GB2312"/>
        </w:rPr>
      </w:pPr>
      <w:r>
        <w:rPr>
          <w:rFonts w:hint="eastAsia" w:ascii="仿宋_GB2312" w:hAnsi="仿宋_GB2312" w:eastAsia="仿宋_GB2312" w:cs="仿宋_GB2312"/>
        </w:rPr>
        <w:t>（五）环境保护规划、土地利用总体规划、城镇体系规划、城市总体规划、主体功能区规划等的编制、修改和实施情况；</w:t>
      </w:r>
    </w:p>
    <w:p>
      <w:pPr>
        <w:pStyle w:val="5"/>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2" w:firstLineChars="200"/>
        <w:jc w:val="left"/>
        <w:textAlignment w:val="auto"/>
        <w:outlineLvl w:val="9"/>
        <w:rPr>
          <w:rFonts w:hint="eastAsia" w:ascii="仿宋_GB2312" w:hAnsi="仿宋_GB2312" w:eastAsia="仿宋_GB2312" w:cs="仿宋_GB2312"/>
        </w:rPr>
      </w:pPr>
      <w:r>
        <w:rPr>
          <w:rFonts w:hint="eastAsia" w:ascii="仿宋_GB2312" w:hAnsi="仿宋_GB2312" w:eastAsia="仿宋_GB2312" w:cs="仿宋_GB2312"/>
        </w:rPr>
        <w:t>（六）环境状况和环境保护目标完成情况，重大环境事件的应对处置情况；</w:t>
      </w:r>
    </w:p>
    <w:p>
      <w:pPr>
        <w:pStyle w:val="5"/>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2" w:firstLineChars="200"/>
        <w:jc w:val="left"/>
        <w:textAlignment w:val="auto"/>
        <w:outlineLvl w:val="9"/>
        <w:rPr>
          <w:rFonts w:hint="eastAsia" w:ascii="仿宋_GB2312" w:hAnsi="仿宋_GB2312" w:eastAsia="仿宋_GB2312" w:cs="仿宋_GB2312"/>
        </w:rPr>
      </w:pPr>
      <w:r>
        <w:rPr>
          <w:rFonts w:hint="eastAsia" w:ascii="仿宋_GB2312" w:hAnsi="仿宋_GB2312" w:eastAsia="仿宋_GB2312" w:cs="仿宋_GB2312"/>
        </w:rPr>
        <w:t>（七）行政区划调整方案；</w:t>
      </w:r>
    </w:p>
    <w:p>
      <w:pPr>
        <w:pStyle w:val="5"/>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2" w:firstLineChars="200"/>
        <w:jc w:val="left"/>
        <w:textAlignment w:val="auto"/>
        <w:outlineLvl w:val="9"/>
        <w:rPr>
          <w:rFonts w:hint="eastAsia" w:ascii="仿宋_GB2312" w:hAnsi="仿宋_GB2312" w:eastAsia="仿宋_GB2312" w:cs="仿宋_GB2312"/>
        </w:rPr>
      </w:pPr>
      <w:r>
        <w:rPr>
          <w:rFonts w:hint="eastAsia" w:ascii="仿宋_GB2312" w:hAnsi="仿宋_GB2312" w:eastAsia="仿宋_GB2312" w:cs="仿宋_GB2312"/>
        </w:rPr>
        <w:t>（八）法律、法规规定应当向人大常委会报告的其他重大事项。</w:t>
      </w:r>
    </w:p>
    <w:p>
      <w:pPr>
        <w:pStyle w:val="5"/>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2" w:firstLineChars="200"/>
        <w:jc w:val="left"/>
        <w:textAlignment w:val="auto"/>
        <w:outlineLvl w:val="9"/>
        <w:rPr>
          <w:rFonts w:hint="eastAsia" w:ascii="仿宋_GB2312" w:hAnsi="仿宋_GB2312" w:eastAsia="仿宋_GB2312" w:cs="仿宋_GB2312"/>
        </w:rPr>
      </w:pPr>
      <w:r>
        <w:rPr>
          <w:rFonts w:hint="eastAsia" w:ascii="仿宋_GB2312" w:hAnsi="仿宋_GB2312" w:eastAsia="仿宋_GB2312" w:cs="仿宋_GB2312"/>
        </w:rPr>
        <w:t>人民政府工作部门的设立、撤销或者合并方案,报经上一级人民政府批准后，应当报本级人大常委会备案。</w:t>
      </w:r>
    </w:p>
    <w:p>
      <w:pPr>
        <w:pStyle w:val="5"/>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2" w:firstLineChars="200"/>
        <w:jc w:val="left"/>
        <w:textAlignment w:val="auto"/>
        <w:outlineLvl w:val="9"/>
        <w:rPr>
          <w:rFonts w:hint="eastAsia" w:ascii="仿宋_GB2312" w:hAnsi="仿宋_GB2312" w:eastAsia="仿宋_GB2312" w:cs="仿宋_GB2312"/>
        </w:rPr>
      </w:pPr>
      <w:r>
        <w:rPr>
          <w:rFonts w:hint="eastAsia" w:ascii="仿宋_GB2312" w:hAnsi="仿宋_GB2312" w:eastAsia="黑体" w:cs="仿宋_GB2312"/>
        </w:rPr>
        <w:t>第八条</w:t>
      </w:r>
      <w:r>
        <w:rPr>
          <w:rFonts w:hint="eastAsia" w:ascii="仿宋_GB2312" w:hAnsi="仿宋_GB2312" w:eastAsia="仿宋_GB2312" w:cs="仿宋_GB2312"/>
        </w:rPr>
        <w:t xml:space="preserve">  下列国家机关、机构和人员可以依法向本级人大常委会提出有关重大事项的议案、报告：</w:t>
      </w:r>
    </w:p>
    <w:p>
      <w:pPr>
        <w:pStyle w:val="5"/>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2" w:firstLineChars="200"/>
        <w:jc w:val="left"/>
        <w:textAlignment w:val="auto"/>
        <w:outlineLvl w:val="9"/>
        <w:rPr>
          <w:rFonts w:hint="eastAsia" w:ascii="仿宋_GB2312" w:hAnsi="仿宋_GB2312" w:eastAsia="仿宋_GB2312" w:cs="仿宋_GB2312"/>
        </w:rPr>
      </w:pPr>
      <w:r>
        <w:rPr>
          <w:rFonts w:hint="eastAsia" w:ascii="仿宋_GB2312" w:hAnsi="仿宋_GB2312" w:eastAsia="仿宋_GB2312" w:cs="仿宋_GB2312"/>
        </w:rPr>
        <w:t>（一）人大常委会主任会议；</w:t>
      </w:r>
    </w:p>
    <w:p>
      <w:pPr>
        <w:pStyle w:val="5"/>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2" w:firstLineChars="200"/>
        <w:jc w:val="left"/>
        <w:textAlignment w:val="auto"/>
        <w:outlineLvl w:val="9"/>
        <w:rPr>
          <w:rFonts w:hint="eastAsia" w:ascii="仿宋_GB2312" w:hAnsi="仿宋_GB2312" w:eastAsia="仿宋_GB2312" w:cs="仿宋_GB2312"/>
        </w:rPr>
      </w:pPr>
      <w:r>
        <w:rPr>
          <w:rFonts w:hint="eastAsia" w:ascii="仿宋_GB2312" w:hAnsi="仿宋_GB2312" w:eastAsia="仿宋_GB2312" w:cs="仿宋_GB2312"/>
        </w:rPr>
        <w:t>（二）人民政府、人民法院、人民检察院；</w:t>
      </w:r>
    </w:p>
    <w:p>
      <w:pPr>
        <w:pStyle w:val="5"/>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2" w:firstLineChars="200"/>
        <w:jc w:val="left"/>
        <w:textAlignment w:val="auto"/>
        <w:outlineLvl w:val="9"/>
        <w:rPr>
          <w:rFonts w:hint="eastAsia" w:ascii="仿宋_GB2312" w:hAnsi="仿宋_GB2312" w:eastAsia="仿宋_GB2312" w:cs="仿宋_GB2312"/>
        </w:rPr>
      </w:pPr>
      <w:r>
        <w:rPr>
          <w:rFonts w:hint="eastAsia" w:ascii="仿宋_GB2312" w:hAnsi="仿宋_GB2312" w:eastAsia="仿宋_GB2312" w:cs="仿宋_GB2312"/>
        </w:rPr>
        <w:t>（三）人民代表大会各专门委员会（以下简称专门委员会）；</w:t>
      </w:r>
    </w:p>
    <w:p>
      <w:pPr>
        <w:pStyle w:val="5"/>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2" w:firstLineChars="200"/>
        <w:jc w:val="left"/>
        <w:textAlignment w:val="auto"/>
        <w:outlineLvl w:val="9"/>
        <w:rPr>
          <w:rFonts w:hint="eastAsia" w:ascii="仿宋_GB2312" w:hAnsi="仿宋_GB2312" w:eastAsia="仿宋_GB2312" w:cs="仿宋_GB2312"/>
        </w:rPr>
      </w:pPr>
      <w:r>
        <w:rPr>
          <w:rFonts w:hint="eastAsia" w:ascii="仿宋_GB2312" w:hAnsi="仿宋_GB2312" w:eastAsia="仿宋_GB2312" w:cs="仿宋_GB2312"/>
        </w:rPr>
        <w:t>（四）省、市（州）人大常委会组成人员五人以上联名，县（市、区）人大常委会组成人员三人以上联名；</w:t>
      </w:r>
    </w:p>
    <w:p>
      <w:pPr>
        <w:pStyle w:val="5"/>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2" w:firstLineChars="200"/>
        <w:jc w:val="left"/>
        <w:textAlignment w:val="auto"/>
        <w:outlineLvl w:val="9"/>
        <w:rPr>
          <w:rFonts w:hint="eastAsia" w:ascii="仿宋_GB2312" w:hAnsi="仿宋_GB2312" w:eastAsia="仿宋_GB2312" w:cs="仿宋_GB2312"/>
        </w:rPr>
      </w:pPr>
      <w:r>
        <w:rPr>
          <w:rFonts w:hint="eastAsia" w:ascii="仿宋_GB2312" w:hAnsi="仿宋_GB2312" w:eastAsia="仿宋_GB2312" w:cs="仿宋_GB2312"/>
        </w:rPr>
        <w:t>（五）法律、法规规定的其他国家机关。</w:t>
      </w:r>
    </w:p>
    <w:p>
      <w:pPr>
        <w:pStyle w:val="5"/>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2" w:firstLineChars="200"/>
        <w:jc w:val="left"/>
        <w:textAlignment w:val="auto"/>
        <w:outlineLvl w:val="9"/>
        <w:rPr>
          <w:rFonts w:hint="eastAsia" w:ascii="仿宋_GB2312" w:hAnsi="仿宋_GB2312" w:eastAsia="仿宋_GB2312" w:cs="仿宋_GB2312"/>
        </w:rPr>
      </w:pPr>
      <w:r>
        <w:rPr>
          <w:rFonts w:hint="eastAsia" w:ascii="仿宋_GB2312" w:hAnsi="仿宋_GB2312" w:eastAsia="黑体" w:cs="仿宋_GB2312"/>
        </w:rPr>
        <w:t>第九条</w:t>
      </w:r>
      <w:r>
        <w:rPr>
          <w:rFonts w:hint="eastAsia" w:ascii="仿宋_GB2312" w:hAnsi="仿宋_GB2312" w:eastAsia="仿宋_GB2312" w:cs="仿宋_GB2312"/>
        </w:rPr>
        <w:t xml:space="preserve">  建立完善讨论、决定重大事项协调机制，定期召开党委、人大常委会、人民政府、人民法院、人民检察院工作机构参加的讨论、决定重大事项联席会议，及时通报本行政区域的重大决策和工作部署及进展情况，沟通协调重大事项议题的提出、决议决定的贯彻执行、意见建议的研究处理等相关事宜。</w:t>
      </w:r>
    </w:p>
    <w:p>
      <w:pPr>
        <w:pStyle w:val="5"/>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2" w:firstLineChars="200"/>
        <w:jc w:val="left"/>
        <w:textAlignment w:val="auto"/>
        <w:outlineLvl w:val="9"/>
        <w:rPr>
          <w:rFonts w:hint="eastAsia" w:ascii="仿宋_GB2312" w:hAnsi="仿宋_GB2312" w:eastAsia="仿宋_GB2312" w:cs="仿宋_GB2312"/>
        </w:rPr>
      </w:pPr>
      <w:r>
        <w:rPr>
          <w:rFonts w:hint="eastAsia" w:ascii="仿宋_GB2312" w:hAnsi="仿宋_GB2312" w:eastAsia="黑体" w:cs="仿宋_GB2312"/>
        </w:rPr>
        <w:t>第十条</w:t>
      </w:r>
      <w:r>
        <w:rPr>
          <w:rFonts w:hint="eastAsia" w:ascii="仿宋_GB2312" w:hAnsi="仿宋_GB2312" w:eastAsia="仿宋_GB2312" w:cs="仿宋_GB2312"/>
        </w:rPr>
        <w:t xml:space="preserve">  人大常委会讨论、决定重大事项，应当制定年度计划，并列入人大常委会年度工作计划，向社会公开。</w:t>
      </w:r>
    </w:p>
    <w:p>
      <w:pPr>
        <w:pStyle w:val="5"/>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2" w:firstLineChars="200"/>
        <w:jc w:val="left"/>
        <w:textAlignment w:val="auto"/>
        <w:outlineLvl w:val="9"/>
        <w:rPr>
          <w:rFonts w:hint="eastAsia" w:ascii="仿宋_GB2312" w:hAnsi="仿宋_GB2312" w:eastAsia="仿宋_GB2312" w:cs="仿宋_GB2312"/>
        </w:rPr>
      </w:pPr>
      <w:r>
        <w:rPr>
          <w:rFonts w:hint="eastAsia" w:ascii="仿宋_GB2312" w:hAnsi="仿宋_GB2312" w:eastAsia="仿宋_GB2312" w:cs="仿宋_GB2312"/>
        </w:rPr>
        <w:t>人大常委会工作机构应当每年年底向人民政府、人民法院、人民检察院和专门委员会、人大常委会组成人员、人大代表以及社会公众征集重大事项议题，研究提出下一年度计划方案，通过联席会议等形式沟通协调相关方面意见后，提交人大常委会主任会议讨论通过。</w:t>
      </w:r>
    </w:p>
    <w:p>
      <w:pPr>
        <w:pStyle w:val="5"/>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2" w:firstLineChars="200"/>
        <w:jc w:val="left"/>
        <w:textAlignment w:val="auto"/>
        <w:outlineLvl w:val="9"/>
        <w:rPr>
          <w:rFonts w:hint="eastAsia" w:ascii="仿宋_GB2312" w:hAnsi="仿宋_GB2312" w:eastAsia="仿宋_GB2312" w:cs="仿宋_GB2312"/>
        </w:rPr>
      </w:pPr>
      <w:r>
        <w:rPr>
          <w:rFonts w:hint="eastAsia" w:ascii="仿宋_GB2312" w:hAnsi="仿宋_GB2312" w:eastAsia="仿宋_GB2312" w:cs="仿宋_GB2312"/>
        </w:rPr>
        <w:t>年度计划需要作个别调整或者临时需要提请人大常委会讨论、决定的重大事项，由人大常委会主任会议研究决定。</w:t>
      </w:r>
    </w:p>
    <w:p>
      <w:pPr>
        <w:pStyle w:val="5"/>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2" w:firstLineChars="200"/>
        <w:jc w:val="left"/>
        <w:textAlignment w:val="auto"/>
        <w:outlineLvl w:val="9"/>
        <w:rPr>
          <w:rFonts w:hint="eastAsia" w:ascii="仿宋_GB2312" w:hAnsi="仿宋_GB2312" w:eastAsia="仿宋_GB2312" w:cs="仿宋_GB2312"/>
        </w:rPr>
      </w:pPr>
      <w:r>
        <w:rPr>
          <w:rFonts w:hint="eastAsia" w:ascii="仿宋_GB2312" w:hAnsi="仿宋_GB2312" w:eastAsia="黑体" w:cs="仿宋_GB2312"/>
        </w:rPr>
        <w:t>第十一条</w:t>
      </w:r>
      <w:r>
        <w:rPr>
          <w:rFonts w:hint="eastAsia" w:ascii="仿宋_GB2312" w:hAnsi="仿宋_GB2312" w:eastAsia="仿宋_GB2312" w:cs="仿宋_GB2312"/>
        </w:rPr>
        <w:t xml:space="preserve">  人大常委会主任会议、人民政府、人民法院、人民检察院和专门委员会提出的重大事项议案、报告，应当分别经人大常委会主任会议、政府常务会议、审判委员会会议、检察委员会会议、专门委员会会议通过。</w:t>
      </w:r>
    </w:p>
    <w:p>
      <w:pPr>
        <w:pStyle w:val="5"/>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2" w:firstLineChars="200"/>
        <w:jc w:val="left"/>
        <w:textAlignment w:val="auto"/>
        <w:outlineLvl w:val="9"/>
        <w:rPr>
          <w:rFonts w:hint="eastAsia" w:ascii="仿宋_GB2312" w:hAnsi="仿宋_GB2312" w:eastAsia="仿宋_GB2312" w:cs="仿宋_GB2312"/>
        </w:rPr>
      </w:pPr>
      <w:r>
        <w:rPr>
          <w:rFonts w:hint="eastAsia" w:ascii="仿宋_GB2312" w:hAnsi="仿宋_GB2312" w:eastAsia="仿宋_GB2312" w:cs="仿宋_GB2312"/>
        </w:rPr>
        <w:t>人民政府、人民法院、人民检察院提出的重大事项议案、报告由其主要负责人签署。人大常委会组成人员联名提出的重大事项议案、报告，由联名人共同签署。</w:t>
      </w:r>
    </w:p>
    <w:p>
      <w:pPr>
        <w:pStyle w:val="5"/>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2" w:firstLineChars="200"/>
        <w:jc w:val="left"/>
        <w:textAlignment w:val="auto"/>
        <w:outlineLvl w:val="9"/>
        <w:rPr>
          <w:rFonts w:hint="eastAsia" w:ascii="仿宋_GB2312" w:hAnsi="仿宋_GB2312" w:eastAsia="仿宋_GB2312" w:cs="仿宋_GB2312"/>
        </w:rPr>
      </w:pPr>
      <w:r>
        <w:rPr>
          <w:rFonts w:hint="eastAsia" w:ascii="仿宋_GB2312" w:hAnsi="仿宋_GB2312" w:eastAsia="黑体" w:cs="仿宋_GB2312"/>
        </w:rPr>
        <w:t>第十二条</w:t>
      </w:r>
      <w:r>
        <w:rPr>
          <w:rFonts w:hint="eastAsia" w:ascii="仿宋_GB2312" w:hAnsi="仿宋_GB2312" w:eastAsia="仿宋_GB2312" w:cs="仿宋_GB2312"/>
        </w:rPr>
        <w:t xml:space="preserve">  重大事项的议案、报告应当包括下列内容：</w:t>
      </w:r>
    </w:p>
    <w:p>
      <w:pPr>
        <w:pStyle w:val="5"/>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2" w:firstLineChars="200"/>
        <w:jc w:val="left"/>
        <w:textAlignment w:val="auto"/>
        <w:outlineLvl w:val="9"/>
        <w:rPr>
          <w:rFonts w:hint="eastAsia" w:ascii="仿宋_GB2312" w:hAnsi="仿宋_GB2312" w:eastAsia="仿宋_GB2312" w:cs="仿宋_GB2312"/>
        </w:rPr>
      </w:pPr>
      <w:r>
        <w:rPr>
          <w:rFonts w:hint="eastAsia" w:ascii="仿宋_GB2312" w:hAnsi="仿宋_GB2312" w:eastAsia="仿宋_GB2312" w:cs="仿宋_GB2312"/>
        </w:rPr>
        <w:t>（一）重大事项的基本情况；</w:t>
      </w:r>
    </w:p>
    <w:p>
      <w:pPr>
        <w:pStyle w:val="5"/>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2" w:firstLineChars="200"/>
        <w:jc w:val="left"/>
        <w:textAlignment w:val="auto"/>
        <w:outlineLvl w:val="9"/>
        <w:rPr>
          <w:rFonts w:hint="eastAsia" w:ascii="仿宋_GB2312" w:hAnsi="仿宋_GB2312" w:eastAsia="仿宋_GB2312" w:cs="仿宋_GB2312"/>
        </w:rPr>
      </w:pPr>
      <w:r>
        <w:rPr>
          <w:rFonts w:hint="eastAsia" w:ascii="仿宋_GB2312" w:hAnsi="仿宋_GB2312" w:eastAsia="仿宋_GB2312" w:cs="仿宋_GB2312"/>
        </w:rPr>
        <w:t>（二）与重大事项有关的法律、法规和政策依据；</w:t>
      </w:r>
    </w:p>
    <w:p>
      <w:pPr>
        <w:pStyle w:val="5"/>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2" w:firstLineChars="200"/>
        <w:jc w:val="left"/>
        <w:textAlignment w:val="auto"/>
        <w:outlineLvl w:val="9"/>
        <w:rPr>
          <w:rFonts w:hint="eastAsia" w:ascii="仿宋_GB2312" w:hAnsi="仿宋_GB2312" w:eastAsia="仿宋_GB2312" w:cs="仿宋_GB2312"/>
        </w:rPr>
      </w:pPr>
      <w:r>
        <w:rPr>
          <w:rFonts w:hint="eastAsia" w:ascii="仿宋_GB2312" w:hAnsi="仿宋_GB2312" w:eastAsia="仿宋_GB2312" w:cs="仿宋_GB2312"/>
        </w:rPr>
        <w:t>（三）决策方案及其必要性、可行性说明，相关的统计数据、调研报告等资料；</w:t>
      </w:r>
    </w:p>
    <w:p>
      <w:pPr>
        <w:pStyle w:val="5"/>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2" w:firstLineChars="200"/>
        <w:jc w:val="left"/>
        <w:textAlignment w:val="auto"/>
        <w:outlineLvl w:val="9"/>
        <w:rPr>
          <w:rFonts w:hint="eastAsia" w:ascii="仿宋_GB2312" w:hAnsi="仿宋_GB2312" w:eastAsia="仿宋_GB2312" w:cs="仿宋_GB2312"/>
        </w:rPr>
      </w:pPr>
      <w:r>
        <w:rPr>
          <w:rFonts w:hint="eastAsia" w:ascii="仿宋_GB2312" w:hAnsi="仿宋_GB2312" w:eastAsia="仿宋_GB2312" w:cs="仿宋_GB2312"/>
        </w:rPr>
        <w:t>（四）按照有关规定，组织公众参与、专家论证、风险评估、合法性审查、集体讨论决定的情况。</w:t>
      </w:r>
    </w:p>
    <w:p>
      <w:pPr>
        <w:pStyle w:val="5"/>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2" w:firstLineChars="200"/>
        <w:jc w:val="left"/>
        <w:textAlignment w:val="auto"/>
        <w:outlineLvl w:val="9"/>
        <w:rPr>
          <w:rFonts w:hint="eastAsia" w:ascii="仿宋_GB2312" w:hAnsi="仿宋_GB2312" w:eastAsia="仿宋_GB2312" w:cs="仿宋_GB2312"/>
        </w:rPr>
      </w:pPr>
      <w:r>
        <w:rPr>
          <w:rFonts w:hint="eastAsia" w:ascii="仿宋_GB2312" w:hAnsi="仿宋_GB2312" w:eastAsia="仿宋_GB2312" w:cs="仿宋_GB2312"/>
        </w:rPr>
        <w:t>重大事项的议案、报告应当在人大常委会会议召开的十五日前送达人大常委会工作机构。</w:t>
      </w:r>
    </w:p>
    <w:p>
      <w:pPr>
        <w:pStyle w:val="5"/>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2" w:firstLineChars="200"/>
        <w:jc w:val="left"/>
        <w:textAlignment w:val="auto"/>
        <w:outlineLvl w:val="9"/>
        <w:rPr>
          <w:rFonts w:hint="eastAsia" w:ascii="仿宋_GB2312" w:hAnsi="仿宋_GB2312" w:eastAsia="仿宋_GB2312" w:cs="仿宋_GB2312"/>
        </w:rPr>
      </w:pPr>
      <w:r>
        <w:rPr>
          <w:rFonts w:hint="eastAsia" w:ascii="仿宋_GB2312" w:hAnsi="仿宋_GB2312" w:eastAsia="黑体" w:cs="仿宋_GB2312"/>
        </w:rPr>
        <w:t>第十三条</w:t>
      </w:r>
      <w:r>
        <w:rPr>
          <w:rFonts w:hint="eastAsia" w:ascii="仿宋_GB2312" w:hAnsi="仿宋_GB2312" w:eastAsia="仿宋_GB2312" w:cs="仿宋_GB2312"/>
        </w:rPr>
        <w:t xml:space="preserve">  人民政府、人民法院、人民检察院有关重大事项的议案、报告，应当提前送交有关专门委员会、人大常委会工作机构征求意见。</w:t>
      </w:r>
    </w:p>
    <w:p>
      <w:pPr>
        <w:pStyle w:val="5"/>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2" w:firstLineChars="200"/>
        <w:jc w:val="left"/>
        <w:textAlignment w:val="auto"/>
        <w:outlineLvl w:val="9"/>
        <w:rPr>
          <w:rFonts w:hint="eastAsia" w:ascii="仿宋_GB2312" w:hAnsi="仿宋_GB2312" w:eastAsia="仿宋_GB2312" w:cs="仿宋_GB2312"/>
        </w:rPr>
      </w:pPr>
      <w:r>
        <w:rPr>
          <w:rFonts w:hint="eastAsia" w:ascii="仿宋_GB2312" w:hAnsi="仿宋_GB2312" w:eastAsia="仿宋_GB2312" w:cs="仿宋_GB2312"/>
        </w:rPr>
        <w:t>有关专门委员会、人大常委会工作机构根据需要，提前参与重大事项前期研究协调和论证过程，了解情况、提出意见；或者组织专题调研，提出意见。</w:t>
      </w:r>
    </w:p>
    <w:p>
      <w:pPr>
        <w:pStyle w:val="5"/>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2" w:firstLineChars="200"/>
        <w:jc w:val="left"/>
        <w:textAlignment w:val="auto"/>
        <w:outlineLvl w:val="9"/>
        <w:rPr>
          <w:rFonts w:hint="eastAsia" w:ascii="仿宋_GB2312" w:hAnsi="仿宋_GB2312" w:eastAsia="仿宋_GB2312" w:cs="仿宋_GB2312"/>
        </w:rPr>
      </w:pPr>
      <w:r>
        <w:rPr>
          <w:rFonts w:hint="eastAsia" w:ascii="仿宋_GB2312" w:hAnsi="仿宋_GB2312" w:eastAsia="黑体" w:cs="仿宋_GB2312"/>
        </w:rPr>
        <w:t>第十四条</w:t>
      </w:r>
      <w:r>
        <w:rPr>
          <w:rFonts w:hint="eastAsia" w:ascii="仿宋_GB2312" w:hAnsi="仿宋_GB2312" w:eastAsia="仿宋_GB2312" w:cs="仿宋_GB2312"/>
        </w:rPr>
        <w:t xml:space="preserve">  重大事项的议案、报告，按照下列程序提请审议：</w:t>
      </w:r>
    </w:p>
    <w:p>
      <w:pPr>
        <w:pStyle w:val="5"/>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2" w:firstLineChars="200"/>
        <w:jc w:val="left"/>
        <w:textAlignment w:val="auto"/>
        <w:outlineLvl w:val="9"/>
        <w:rPr>
          <w:rFonts w:hint="eastAsia" w:ascii="仿宋_GB2312" w:hAnsi="仿宋_GB2312" w:eastAsia="仿宋_GB2312" w:cs="仿宋_GB2312"/>
        </w:rPr>
      </w:pPr>
      <w:r>
        <w:rPr>
          <w:rFonts w:hint="eastAsia" w:ascii="仿宋_GB2312" w:hAnsi="仿宋_GB2312" w:eastAsia="仿宋_GB2312" w:cs="仿宋_GB2312"/>
        </w:rPr>
        <w:t>（一）人大常委会主任会议提出的，由人大常委会会议审议；</w:t>
      </w:r>
    </w:p>
    <w:p>
      <w:pPr>
        <w:pStyle w:val="5"/>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2" w:firstLineChars="200"/>
        <w:jc w:val="left"/>
        <w:textAlignment w:val="auto"/>
        <w:outlineLvl w:val="9"/>
        <w:rPr>
          <w:rFonts w:hint="eastAsia" w:ascii="仿宋_GB2312" w:hAnsi="仿宋_GB2312" w:eastAsia="仿宋_GB2312" w:cs="仿宋_GB2312"/>
        </w:rPr>
      </w:pPr>
      <w:r>
        <w:rPr>
          <w:rFonts w:hint="eastAsia" w:ascii="仿宋_GB2312" w:hAnsi="仿宋_GB2312" w:eastAsia="仿宋_GB2312" w:cs="仿宋_GB2312"/>
        </w:rPr>
        <w:t>（二）人民政府、人民法院、人民检察院和专门委员会提出的，由人大常委会主任会议决定提请人大常委会会议审议，或者先交有关专门委员会审议、提出报告，再决定提请人大常委会会议审议；</w:t>
      </w:r>
    </w:p>
    <w:p>
      <w:pPr>
        <w:pStyle w:val="5"/>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2" w:firstLineChars="200"/>
        <w:jc w:val="left"/>
        <w:textAlignment w:val="auto"/>
        <w:outlineLvl w:val="9"/>
        <w:rPr>
          <w:rFonts w:hint="eastAsia" w:ascii="仿宋_GB2312" w:hAnsi="仿宋_GB2312" w:eastAsia="仿宋_GB2312" w:cs="仿宋_GB2312"/>
        </w:rPr>
      </w:pPr>
      <w:r>
        <w:rPr>
          <w:rFonts w:hint="eastAsia" w:ascii="仿宋_GB2312" w:hAnsi="仿宋_GB2312" w:eastAsia="仿宋_GB2312" w:cs="仿宋_GB2312"/>
        </w:rPr>
        <w:t>（三）人大常委会组成人员依法联名提出的，由人大常委会主任会议决定是否提请人大常委会会议审议，或者先交有关专门委员会审议、提出报告，再决定是否提请人大常委会会议审议。</w:t>
      </w:r>
    </w:p>
    <w:p>
      <w:pPr>
        <w:pStyle w:val="5"/>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2" w:firstLineChars="200"/>
        <w:jc w:val="left"/>
        <w:textAlignment w:val="auto"/>
        <w:outlineLvl w:val="9"/>
        <w:rPr>
          <w:rFonts w:hint="eastAsia" w:ascii="仿宋_GB2312" w:hAnsi="仿宋_GB2312" w:eastAsia="仿宋_GB2312" w:cs="仿宋_GB2312"/>
        </w:rPr>
      </w:pPr>
      <w:r>
        <w:rPr>
          <w:rFonts w:hint="eastAsia" w:ascii="仿宋_GB2312" w:hAnsi="仿宋_GB2312" w:eastAsia="黑体" w:cs="仿宋_GB2312"/>
        </w:rPr>
        <w:t>第十五条</w:t>
      </w:r>
      <w:r>
        <w:rPr>
          <w:rFonts w:hint="eastAsia" w:ascii="仿宋_GB2312" w:hAnsi="仿宋_GB2312" w:eastAsia="仿宋_GB2312" w:cs="仿宋_GB2312"/>
        </w:rPr>
        <w:t xml:space="preserve">  讨论、决定重大事项前，人大常委会应当组织人大常委会组成人员、人大代表开展视察、专题调研，或者由有关专门委员会、人大常委会工作机构组织专题调研，广泛听取各方面意见。</w:t>
      </w:r>
    </w:p>
    <w:p>
      <w:pPr>
        <w:pStyle w:val="5"/>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2" w:firstLineChars="200"/>
        <w:jc w:val="left"/>
        <w:textAlignment w:val="auto"/>
        <w:outlineLvl w:val="9"/>
        <w:rPr>
          <w:rFonts w:hint="eastAsia" w:ascii="仿宋_GB2312" w:hAnsi="仿宋_GB2312" w:eastAsia="仿宋_GB2312" w:cs="仿宋_GB2312"/>
        </w:rPr>
      </w:pPr>
      <w:r>
        <w:rPr>
          <w:rFonts w:hint="eastAsia" w:ascii="仿宋_GB2312" w:hAnsi="仿宋_GB2312" w:eastAsia="仿宋_GB2312" w:cs="仿宋_GB2312"/>
        </w:rPr>
        <w:t>对专业性、技术性较强的重大事项，应当组织专家、科研机构进行深入论证和评估，或者要求有关国家机关、机构、组织进行补充论证、评估。</w:t>
      </w:r>
    </w:p>
    <w:p>
      <w:pPr>
        <w:pStyle w:val="5"/>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2" w:firstLineChars="200"/>
        <w:jc w:val="left"/>
        <w:textAlignment w:val="auto"/>
        <w:outlineLvl w:val="9"/>
        <w:rPr>
          <w:rFonts w:hint="eastAsia" w:ascii="仿宋_GB2312" w:hAnsi="仿宋_GB2312" w:eastAsia="仿宋_GB2312" w:cs="仿宋_GB2312"/>
        </w:rPr>
      </w:pPr>
      <w:r>
        <w:rPr>
          <w:rFonts w:hint="eastAsia" w:ascii="仿宋_GB2312" w:hAnsi="仿宋_GB2312" w:eastAsia="仿宋_GB2312" w:cs="仿宋_GB2312"/>
        </w:rPr>
        <w:t>对存在重大意见分歧或者涉及利益关系重大调整的重大事项，应当召开听证会听取各方面意见。</w:t>
      </w:r>
    </w:p>
    <w:p>
      <w:pPr>
        <w:pStyle w:val="5"/>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2" w:firstLineChars="200"/>
        <w:jc w:val="left"/>
        <w:textAlignment w:val="auto"/>
        <w:outlineLvl w:val="9"/>
        <w:rPr>
          <w:rFonts w:hint="eastAsia" w:ascii="仿宋_GB2312" w:hAnsi="仿宋_GB2312" w:eastAsia="仿宋_GB2312" w:cs="仿宋_GB2312"/>
        </w:rPr>
      </w:pPr>
      <w:r>
        <w:rPr>
          <w:rFonts w:hint="eastAsia" w:ascii="仿宋_GB2312" w:hAnsi="仿宋_GB2312" w:eastAsia="仿宋_GB2312" w:cs="仿宋_GB2312"/>
        </w:rPr>
        <w:t>对社会普遍关注的重大事项，应当公开相关信息，通过报刊、网络等媒体向社会公开征求意见。</w:t>
      </w:r>
    </w:p>
    <w:p>
      <w:pPr>
        <w:pStyle w:val="5"/>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2" w:firstLineChars="200"/>
        <w:jc w:val="left"/>
        <w:textAlignment w:val="auto"/>
        <w:outlineLvl w:val="9"/>
        <w:rPr>
          <w:rFonts w:hint="eastAsia" w:ascii="仿宋_GB2312" w:hAnsi="仿宋_GB2312" w:eastAsia="仿宋_GB2312" w:cs="仿宋_GB2312"/>
        </w:rPr>
      </w:pPr>
      <w:r>
        <w:rPr>
          <w:rFonts w:hint="eastAsia" w:ascii="仿宋_GB2312" w:hAnsi="仿宋_GB2312" w:eastAsia="黑体" w:cs="仿宋_GB2312"/>
        </w:rPr>
        <w:t>第十六条</w:t>
      </w:r>
      <w:r>
        <w:rPr>
          <w:rFonts w:hint="eastAsia" w:ascii="仿宋_GB2312" w:hAnsi="仿宋_GB2312" w:eastAsia="仿宋_GB2312" w:cs="仿宋_GB2312"/>
        </w:rPr>
        <w:t xml:space="preserve">  人大常委会会议审议重大事项的议案、报告时，提案机关负责人或者提案人应当到会作出说明、听取意见、回答询问。</w:t>
      </w:r>
    </w:p>
    <w:p>
      <w:pPr>
        <w:pStyle w:val="5"/>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2" w:firstLineChars="200"/>
        <w:jc w:val="left"/>
        <w:textAlignment w:val="auto"/>
        <w:outlineLvl w:val="9"/>
        <w:rPr>
          <w:rFonts w:hint="eastAsia" w:ascii="仿宋_GB2312" w:hAnsi="仿宋_GB2312" w:eastAsia="仿宋_GB2312" w:cs="仿宋_GB2312"/>
        </w:rPr>
      </w:pPr>
      <w:r>
        <w:rPr>
          <w:rFonts w:hint="eastAsia" w:ascii="仿宋_GB2312" w:hAnsi="仿宋_GB2312" w:eastAsia="仿宋_GB2312" w:cs="仿宋_GB2312"/>
        </w:rPr>
        <w:t>人大常委会主任会议应当安排参与前期视察或者专题调研的人大代表列席人大常委会会议，提出意见；根据需要，可以组织相关专业机构和人员列席人大常委会会议，回答询问。</w:t>
      </w:r>
    </w:p>
    <w:p>
      <w:pPr>
        <w:pStyle w:val="5"/>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2" w:firstLineChars="200"/>
        <w:jc w:val="left"/>
        <w:textAlignment w:val="auto"/>
        <w:outlineLvl w:val="9"/>
        <w:rPr>
          <w:rFonts w:hint="eastAsia" w:ascii="仿宋_GB2312" w:hAnsi="仿宋_GB2312" w:eastAsia="仿宋_GB2312" w:cs="仿宋_GB2312"/>
        </w:rPr>
      </w:pPr>
      <w:r>
        <w:rPr>
          <w:rFonts w:hint="eastAsia" w:ascii="仿宋_GB2312" w:hAnsi="仿宋_GB2312" w:eastAsia="仿宋_GB2312" w:cs="仿宋_GB2312"/>
        </w:rPr>
        <w:t>社会团体、企业事业单位以及公民经人大常委会主任会议决定，可以列席或者旁听人大常委会会议。</w:t>
      </w:r>
    </w:p>
    <w:p>
      <w:pPr>
        <w:pStyle w:val="5"/>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2" w:firstLineChars="200"/>
        <w:jc w:val="left"/>
        <w:textAlignment w:val="auto"/>
        <w:outlineLvl w:val="9"/>
        <w:rPr>
          <w:rFonts w:hint="eastAsia" w:ascii="仿宋_GB2312" w:hAnsi="仿宋_GB2312" w:eastAsia="仿宋_GB2312" w:cs="仿宋_GB2312"/>
        </w:rPr>
      </w:pPr>
      <w:r>
        <w:rPr>
          <w:rFonts w:hint="eastAsia" w:ascii="仿宋_GB2312" w:hAnsi="仿宋_GB2312" w:eastAsia="黑体" w:cs="仿宋_GB2312"/>
        </w:rPr>
        <w:t>第十七条</w:t>
      </w:r>
      <w:r>
        <w:rPr>
          <w:rFonts w:hint="eastAsia" w:ascii="仿宋_GB2312" w:hAnsi="仿宋_GB2312" w:eastAsia="仿宋_GB2312" w:cs="仿宋_GB2312"/>
        </w:rPr>
        <w:t xml:space="preserve">  人大常委会讨论、决定重大事项，重点审查重大事项及决策方案的合法性，同时对科学性、合理性、可行性提出意见、建议。</w:t>
      </w:r>
    </w:p>
    <w:p>
      <w:pPr>
        <w:pStyle w:val="5"/>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2" w:firstLineChars="200"/>
        <w:jc w:val="left"/>
        <w:textAlignment w:val="auto"/>
        <w:outlineLvl w:val="9"/>
        <w:rPr>
          <w:rFonts w:hint="eastAsia" w:ascii="仿宋_GB2312" w:hAnsi="仿宋_GB2312" w:eastAsia="仿宋_GB2312" w:cs="仿宋_GB2312"/>
        </w:rPr>
      </w:pPr>
      <w:r>
        <w:rPr>
          <w:rFonts w:hint="eastAsia" w:ascii="仿宋_GB2312" w:hAnsi="仿宋_GB2312" w:eastAsia="黑体" w:cs="仿宋_GB2312"/>
        </w:rPr>
        <w:t>第十八条</w:t>
      </w:r>
      <w:r>
        <w:rPr>
          <w:rFonts w:hint="eastAsia" w:ascii="仿宋_GB2312" w:hAnsi="仿宋_GB2312" w:eastAsia="仿宋_GB2312" w:cs="仿宋_GB2312"/>
        </w:rPr>
        <w:t xml:space="preserve">  对需要作出决议、决定的重大事项，人大常委会自收到重大事项的议案、报告之日起三个月内作出决议、决定；情形复杂的，经人大常委会主任会议决定可以适当延长期限。</w:t>
      </w:r>
    </w:p>
    <w:p>
      <w:pPr>
        <w:pStyle w:val="5"/>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2" w:firstLineChars="200"/>
        <w:jc w:val="left"/>
        <w:textAlignment w:val="auto"/>
        <w:outlineLvl w:val="9"/>
        <w:rPr>
          <w:rFonts w:hint="eastAsia" w:ascii="仿宋_GB2312" w:hAnsi="仿宋_GB2312" w:eastAsia="仿宋_GB2312" w:cs="仿宋_GB2312"/>
        </w:rPr>
      </w:pPr>
      <w:r>
        <w:rPr>
          <w:rFonts w:hint="eastAsia" w:ascii="仿宋_GB2312" w:hAnsi="仿宋_GB2312" w:eastAsia="仿宋_GB2312" w:cs="仿宋_GB2312"/>
        </w:rPr>
        <w:t>对不需要作出决议、决定的重大事项，有关专门委员会或者人大常委会工作机构应当在闭会后十五日内汇总整理人大常委会会议审议提出的意见、建议，经人大常委会主任会议决定交有关国家机关研究处理。</w:t>
      </w:r>
    </w:p>
    <w:p>
      <w:pPr>
        <w:pStyle w:val="5"/>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2" w:firstLineChars="200"/>
        <w:jc w:val="left"/>
        <w:textAlignment w:val="auto"/>
        <w:outlineLvl w:val="9"/>
        <w:rPr>
          <w:rFonts w:hint="eastAsia" w:ascii="仿宋_GB2312" w:hAnsi="仿宋_GB2312" w:eastAsia="仿宋_GB2312" w:cs="仿宋_GB2312"/>
        </w:rPr>
      </w:pPr>
      <w:r>
        <w:rPr>
          <w:rFonts w:hint="eastAsia" w:ascii="仿宋_GB2312" w:hAnsi="仿宋_GB2312" w:eastAsia="黑体" w:cs="仿宋_GB2312"/>
        </w:rPr>
        <w:t>第十九条</w:t>
      </w:r>
      <w:r>
        <w:rPr>
          <w:rFonts w:hint="eastAsia" w:ascii="仿宋_GB2312" w:hAnsi="仿宋_GB2312" w:eastAsia="仿宋_GB2312" w:cs="仿宋_GB2312"/>
        </w:rPr>
        <w:t xml:space="preserve">  人大常委会对重大事项作出的决议、决定或者提出的意见、建议，在闭会后十五日内通过报刊、网络等媒体向社会公布。</w:t>
      </w:r>
    </w:p>
    <w:p>
      <w:pPr>
        <w:pStyle w:val="5"/>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2" w:firstLineChars="200"/>
        <w:jc w:val="left"/>
        <w:textAlignment w:val="auto"/>
        <w:outlineLvl w:val="9"/>
        <w:rPr>
          <w:rFonts w:hint="eastAsia" w:ascii="仿宋_GB2312" w:hAnsi="仿宋_GB2312" w:eastAsia="仿宋_GB2312" w:cs="仿宋_GB2312"/>
        </w:rPr>
      </w:pPr>
      <w:r>
        <w:rPr>
          <w:rFonts w:hint="eastAsia" w:ascii="仿宋_GB2312" w:hAnsi="仿宋_GB2312" w:eastAsia="仿宋_GB2312" w:cs="仿宋_GB2312"/>
        </w:rPr>
        <w:t>人大常委会作出的决议、决定在人大常委会公报上刊登。</w:t>
      </w:r>
    </w:p>
    <w:p>
      <w:pPr>
        <w:pStyle w:val="5"/>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2" w:firstLineChars="200"/>
        <w:jc w:val="left"/>
        <w:textAlignment w:val="auto"/>
        <w:outlineLvl w:val="9"/>
        <w:rPr>
          <w:rFonts w:hint="eastAsia" w:ascii="仿宋_GB2312" w:hAnsi="仿宋_GB2312" w:eastAsia="仿宋_GB2312" w:cs="仿宋_GB2312"/>
        </w:rPr>
      </w:pPr>
      <w:r>
        <w:rPr>
          <w:rFonts w:hint="eastAsia" w:ascii="仿宋_GB2312" w:hAnsi="仿宋_GB2312" w:eastAsia="黑体" w:cs="仿宋_GB2312"/>
        </w:rPr>
        <w:t>第二十条</w:t>
      </w:r>
      <w:r>
        <w:rPr>
          <w:rFonts w:hint="eastAsia" w:ascii="仿宋_GB2312" w:hAnsi="仿宋_GB2312" w:eastAsia="仿宋_GB2312" w:cs="仿宋_GB2312"/>
        </w:rPr>
        <w:t xml:space="preserve">  人大常委会对重大事项作出的决议、决定，有关国家机关应当在一年内向人大常委会报告贯彻执行情况；决议、决定已明确办结期限的，应当在规定期限内办结；情形复杂需要延长期限的，应当提出书面报告，由人大常委会主任会议决定。</w:t>
      </w:r>
    </w:p>
    <w:p>
      <w:pPr>
        <w:pStyle w:val="5"/>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2" w:firstLineChars="200"/>
        <w:jc w:val="left"/>
        <w:textAlignment w:val="auto"/>
        <w:outlineLvl w:val="9"/>
        <w:rPr>
          <w:rFonts w:hint="eastAsia" w:ascii="仿宋_GB2312" w:hAnsi="仿宋_GB2312" w:eastAsia="仿宋_GB2312" w:cs="仿宋_GB2312"/>
        </w:rPr>
      </w:pPr>
      <w:r>
        <w:rPr>
          <w:rFonts w:hint="eastAsia" w:ascii="仿宋_GB2312" w:hAnsi="仿宋_GB2312" w:eastAsia="仿宋_GB2312" w:cs="仿宋_GB2312"/>
        </w:rPr>
        <w:t>人大常委会对重大事项提出的意见、建议，有关国家机关应当研究处理，并在六个月内向人大常委会报告研究处理情况。</w:t>
      </w:r>
    </w:p>
    <w:p>
      <w:pPr>
        <w:pStyle w:val="5"/>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2" w:firstLineChars="200"/>
        <w:jc w:val="left"/>
        <w:textAlignment w:val="auto"/>
        <w:outlineLvl w:val="9"/>
        <w:rPr>
          <w:rFonts w:hint="eastAsia" w:ascii="仿宋_GB2312" w:hAnsi="仿宋_GB2312" w:eastAsia="仿宋_GB2312" w:cs="仿宋_GB2312"/>
        </w:rPr>
      </w:pPr>
      <w:r>
        <w:rPr>
          <w:rFonts w:hint="eastAsia" w:ascii="仿宋_GB2312" w:hAnsi="仿宋_GB2312" w:eastAsia="仿宋_GB2312" w:cs="仿宋_GB2312"/>
        </w:rPr>
        <w:t>报告决议、决定贯彻执行情况，应当包括决议、决定执行的整体情况、实施效果、存在的问题和改进工作意见等。报告意见、建议研究处理情况，应当包括重大事项决策方案修改完善情况、实施效果、存在的问题和改进工作意见等。</w:t>
      </w:r>
    </w:p>
    <w:p>
      <w:pPr>
        <w:pStyle w:val="5"/>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2" w:firstLineChars="200"/>
        <w:jc w:val="left"/>
        <w:textAlignment w:val="auto"/>
        <w:outlineLvl w:val="9"/>
        <w:rPr>
          <w:rFonts w:hint="eastAsia" w:ascii="仿宋_GB2312" w:hAnsi="仿宋_GB2312" w:eastAsia="仿宋_GB2312" w:cs="仿宋_GB2312"/>
        </w:rPr>
      </w:pPr>
      <w:r>
        <w:rPr>
          <w:rFonts w:hint="eastAsia" w:ascii="仿宋_GB2312" w:hAnsi="仿宋_GB2312" w:eastAsia="黑体" w:cs="仿宋_GB2312"/>
        </w:rPr>
        <w:t>第二十一条</w:t>
      </w:r>
      <w:r>
        <w:rPr>
          <w:rFonts w:hint="eastAsia" w:ascii="仿宋_GB2312" w:hAnsi="仿宋_GB2312" w:eastAsia="仿宋_GB2312" w:cs="仿宋_GB2312"/>
        </w:rPr>
        <w:t xml:space="preserve">  人大常委会通过听取和审议专项工作报告、开展执法检查或者组织代表视察、专题调研、专题询问等方式，对决议、决定的贯彻执行情况或者意见、建议的研究处理情况进行监督检查；根据需要，可以结合审议相关议题进行满意度测评。</w:t>
      </w:r>
    </w:p>
    <w:p>
      <w:pPr>
        <w:pStyle w:val="5"/>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2" w:firstLineChars="200"/>
        <w:jc w:val="left"/>
        <w:textAlignment w:val="auto"/>
        <w:outlineLvl w:val="9"/>
        <w:rPr>
          <w:rFonts w:hint="eastAsia" w:ascii="仿宋_GB2312" w:hAnsi="仿宋_GB2312" w:eastAsia="仿宋_GB2312" w:cs="仿宋_GB2312"/>
        </w:rPr>
      </w:pPr>
      <w:r>
        <w:rPr>
          <w:rFonts w:hint="eastAsia" w:ascii="仿宋_GB2312" w:hAnsi="仿宋_GB2312" w:eastAsia="仿宋_GB2312" w:cs="仿宋_GB2312"/>
        </w:rPr>
        <w:t>有关专门委员会或者人大常委会有关工作机构负责组织跟踪督办，并向人大常委会主任会议报告；必要时，由人大常委会主任会议决定，向人大常委会报告。</w:t>
      </w:r>
    </w:p>
    <w:p>
      <w:pPr>
        <w:pStyle w:val="5"/>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2" w:firstLineChars="200"/>
        <w:jc w:val="left"/>
        <w:textAlignment w:val="auto"/>
        <w:outlineLvl w:val="9"/>
        <w:rPr>
          <w:rFonts w:hint="eastAsia" w:ascii="仿宋_GB2312" w:hAnsi="仿宋_GB2312" w:eastAsia="仿宋_GB2312" w:cs="仿宋_GB2312"/>
        </w:rPr>
      </w:pPr>
      <w:r>
        <w:rPr>
          <w:rFonts w:hint="eastAsia" w:ascii="仿宋_GB2312" w:hAnsi="仿宋_GB2312" w:eastAsia="黑体" w:cs="仿宋_GB2312"/>
        </w:rPr>
        <w:t>第二十二条</w:t>
      </w:r>
      <w:r>
        <w:rPr>
          <w:rFonts w:hint="eastAsia" w:ascii="仿宋_GB2312" w:hAnsi="仿宋_GB2312" w:eastAsia="仿宋_GB2312" w:cs="仿宋_GB2312"/>
        </w:rPr>
        <w:t xml:space="preserve">  违反本规定，有关国家机关有下列情形之一的，人大常委会可以依法组织询问、质询、特定问题调查，并根据具体情况提出监督纠正意见、责令限期改正或者依法撤销已经作出的决定：</w:t>
      </w:r>
    </w:p>
    <w:p>
      <w:pPr>
        <w:pStyle w:val="5"/>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2" w:firstLineChars="200"/>
        <w:jc w:val="left"/>
        <w:textAlignment w:val="auto"/>
        <w:outlineLvl w:val="9"/>
        <w:rPr>
          <w:rFonts w:hint="eastAsia" w:ascii="仿宋_GB2312" w:hAnsi="仿宋_GB2312" w:eastAsia="仿宋_GB2312" w:cs="仿宋_GB2312"/>
        </w:rPr>
      </w:pPr>
      <w:r>
        <w:rPr>
          <w:rFonts w:hint="eastAsia" w:ascii="仿宋_GB2312" w:hAnsi="仿宋_GB2312" w:eastAsia="仿宋_GB2312" w:cs="仿宋_GB2312"/>
        </w:rPr>
        <w:t>（一）应当向人大常委会报告的重大事项不报告的；</w:t>
      </w:r>
    </w:p>
    <w:p>
      <w:pPr>
        <w:pStyle w:val="5"/>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2" w:firstLineChars="200"/>
        <w:jc w:val="left"/>
        <w:textAlignment w:val="auto"/>
        <w:outlineLvl w:val="9"/>
        <w:rPr>
          <w:rFonts w:hint="eastAsia" w:ascii="仿宋_GB2312" w:hAnsi="仿宋_GB2312" w:eastAsia="仿宋_GB2312" w:cs="仿宋_GB2312"/>
        </w:rPr>
      </w:pPr>
      <w:r>
        <w:rPr>
          <w:rFonts w:hint="eastAsia" w:ascii="仿宋_GB2312" w:hAnsi="仿宋_GB2312" w:eastAsia="仿宋_GB2312" w:cs="仿宋_GB2312"/>
        </w:rPr>
        <w:t>（二）应当由人大常委会决定的重大事项越权作出决定的；</w:t>
      </w:r>
    </w:p>
    <w:p>
      <w:pPr>
        <w:pStyle w:val="5"/>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2" w:firstLineChars="200"/>
        <w:jc w:val="left"/>
        <w:textAlignment w:val="auto"/>
        <w:outlineLvl w:val="9"/>
        <w:rPr>
          <w:rFonts w:hint="eastAsia" w:ascii="仿宋_GB2312" w:hAnsi="仿宋_GB2312" w:eastAsia="仿宋_GB2312" w:cs="仿宋_GB2312"/>
        </w:rPr>
      </w:pPr>
      <w:r>
        <w:rPr>
          <w:rFonts w:hint="eastAsia" w:ascii="仿宋_GB2312" w:hAnsi="仿宋_GB2312" w:eastAsia="仿宋_GB2312" w:cs="仿宋_GB2312"/>
        </w:rPr>
        <w:t>（三）对人大常委会作出的决议、决定不贯彻执行的；</w:t>
      </w:r>
    </w:p>
    <w:p>
      <w:pPr>
        <w:pStyle w:val="5"/>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2" w:firstLineChars="200"/>
        <w:jc w:val="left"/>
        <w:textAlignment w:val="auto"/>
        <w:outlineLvl w:val="9"/>
        <w:rPr>
          <w:rFonts w:hint="eastAsia" w:ascii="仿宋_GB2312" w:hAnsi="仿宋_GB2312" w:eastAsia="仿宋_GB2312" w:cs="仿宋_GB2312"/>
        </w:rPr>
      </w:pPr>
      <w:r>
        <w:rPr>
          <w:rFonts w:hint="eastAsia" w:ascii="仿宋_GB2312" w:hAnsi="仿宋_GB2312" w:eastAsia="仿宋_GB2312" w:cs="仿宋_GB2312"/>
        </w:rPr>
        <w:t>（四）对人大常委会提出的意见、建议不研究处理的；</w:t>
      </w:r>
    </w:p>
    <w:p>
      <w:pPr>
        <w:pStyle w:val="5"/>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2" w:firstLineChars="200"/>
        <w:jc w:val="left"/>
        <w:textAlignment w:val="auto"/>
        <w:outlineLvl w:val="9"/>
        <w:rPr>
          <w:rFonts w:hint="eastAsia" w:ascii="仿宋_GB2312" w:hAnsi="仿宋_GB2312" w:eastAsia="仿宋_GB2312" w:cs="仿宋_GB2312"/>
        </w:rPr>
      </w:pPr>
      <w:r>
        <w:rPr>
          <w:rFonts w:hint="eastAsia" w:ascii="仿宋_GB2312" w:hAnsi="仿宋_GB2312" w:eastAsia="仿宋_GB2312" w:cs="仿宋_GB2312"/>
        </w:rPr>
        <w:t>（五）未按照期限报告决议、决定的贯彻执行情况或者意见、建议的研究处理情况的；</w:t>
      </w:r>
    </w:p>
    <w:p>
      <w:pPr>
        <w:pStyle w:val="5"/>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2" w:firstLineChars="200"/>
        <w:jc w:val="left"/>
        <w:textAlignment w:val="auto"/>
        <w:outlineLvl w:val="9"/>
        <w:rPr>
          <w:rFonts w:hint="eastAsia" w:ascii="仿宋_GB2312" w:hAnsi="仿宋_GB2312" w:eastAsia="仿宋_GB2312" w:cs="仿宋_GB2312"/>
        </w:rPr>
      </w:pPr>
      <w:r>
        <w:rPr>
          <w:rFonts w:hint="eastAsia" w:ascii="仿宋_GB2312" w:hAnsi="仿宋_GB2312" w:eastAsia="仿宋_GB2312" w:cs="仿宋_GB2312"/>
        </w:rPr>
        <w:t>(六)决议、决定的贯彻执行情况或者意见、建议的研究处理情况，经人大常委会满意度测评结果不满意的。</w:t>
      </w:r>
    </w:p>
    <w:p>
      <w:pPr>
        <w:pStyle w:val="5"/>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2" w:firstLineChars="200"/>
        <w:jc w:val="left"/>
        <w:textAlignment w:val="auto"/>
        <w:outlineLvl w:val="9"/>
        <w:rPr>
          <w:rFonts w:hint="eastAsia" w:ascii="仿宋_GB2312" w:hAnsi="仿宋_GB2312" w:eastAsia="仿宋_GB2312" w:cs="仿宋_GB2312"/>
        </w:rPr>
      </w:pPr>
      <w:r>
        <w:rPr>
          <w:rFonts w:hint="eastAsia" w:ascii="仿宋_GB2312" w:hAnsi="仿宋_GB2312" w:eastAsia="仿宋_GB2312" w:cs="仿宋_GB2312"/>
        </w:rPr>
        <w:t>有前款规定情形之一的，依法追究相关国家机关主要负责人责任，并向有关方面通报，作为其职务任免、考核的重要依据；造成重大损失或者恶劣影响的，相关国家机关主要负责人应当引咎辞职。</w:t>
      </w:r>
    </w:p>
    <w:p>
      <w:pPr>
        <w:pStyle w:val="5"/>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2" w:firstLineChars="200"/>
        <w:jc w:val="left"/>
        <w:textAlignment w:val="auto"/>
        <w:outlineLvl w:val="9"/>
        <w:rPr>
          <w:rFonts w:hint="eastAsia" w:ascii="仿宋_GB2312" w:hAnsi="仿宋_GB2312" w:eastAsia="仿宋_GB2312" w:cs="仿宋_GB2312"/>
        </w:rPr>
      </w:pPr>
      <w:r>
        <w:rPr>
          <w:rFonts w:hint="eastAsia" w:ascii="仿宋_GB2312" w:hAnsi="仿宋_GB2312" w:eastAsia="黑体" w:cs="仿宋_GB2312"/>
        </w:rPr>
        <w:t>第二十三条</w:t>
      </w:r>
      <w:r>
        <w:rPr>
          <w:rFonts w:hint="eastAsia" w:ascii="仿宋_GB2312" w:hAnsi="仿宋_GB2312" w:eastAsia="仿宋_GB2312" w:cs="仿宋_GB2312"/>
        </w:rPr>
        <w:t xml:space="preserve">  市（州）、县（市、区）人大常委会根据本规定，结合本地实际，可以制定讨论、决定重大事项的具体办法。</w:t>
      </w:r>
    </w:p>
    <w:p>
      <w:pPr>
        <w:pStyle w:val="5"/>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2" w:firstLineChars="200"/>
        <w:jc w:val="left"/>
        <w:textAlignment w:val="auto"/>
        <w:outlineLvl w:val="9"/>
        <w:rPr>
          <w:rFonts w:hint="eastAsia" w:ascii="仿宋_GB2312" w:hAnsi="仿宋_GB2312" w:eastAsia="仿宋_GB2312" w:cs="仿宋_GB2312"/>
        </w:rPr>
      </w:pPr>
      <w:r>
        <w:rPr>
          <w:rFonts w:hint="eastAsia" w:ascii="仿宋_GB2312" w:hAnsi="仿宋_GB2312" w:eastAsia="黑体" w:cs="仿宋_GB2312"/>
        </w:rPr>
        <w:t>第二十四条</w:t>
      </w:r>
      <w:r>
        <w:rPr>
          <w:rFonts w:hint="eastAsia" w:ascii="仿宋_GB2312" w:hAnsi="仿宋_GB2312" w:eastAsia="仿宋_GB2312" w:cs="仿宋_GB2312"/>
        </w:rPr>
        <w:t xml:space="preserve">  本规定自2017年12月1日起施行。</w:t>
      </w:r>
    </w:p>
    <w:sectPr>
      <w:footerReference r:id="rId3" w:type="default"/>
      <w:footerReference r:id="rId4" w:type="even"/>
      <w:pgSz w:w="11906" w:h="16838"/>
      <w:pgMar w:top="2098" w:right="1474" w:bottom="1985" w:left="1588" w:header="851" w:footer="1701" w:gutter="0"/>
      <w:pgNumType w:start="4"/>
      <w:cols w:space="720"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等线 Light">
    <w:panose1 w:val="02010600030101010101"/>
    <w:charset w:val="86"/>
    <w:family w:val="auto"/>
    <w:pitch w:val="default"/>
    <w:sig w:usb0="A00002BF" w:usb1="38CF7CFA" w:usb2="00000016" w:usb3="00000000" w:csb0="0004000F" w:csb1="00000000"/>
  </w:font>
  <w:font w:name="等线">
    <w:panose1 w:val="02010600030101010101"/>
    <w:charset w:val="86"/>
    <w:family w:val="auto"/>
    <w:pitch w:val="default"/>
    <w:sig w:usb0="A00002BF" w:usb1="38CF7CFA" w:usb2="00000016" w:usb3="00000000" w:csb0="0004000F" w:csb1="00000000"/>
  </w:font>
  <w:font w:name="隶书">
    <w:panose1 w:val="02010509060101010101"/>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方正舒体">
    <w:panose1 w:val="02010601030101010101"/>
    <w:charset w:val="86"/>
    <w:family w:val="auto"/>
    <w:pitch w:val="default"/>
    <w:sig w:usb0="00000003"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方正姚体">
    <w:panose1 w:val="02010601030101010101"/>
    <w:charset w:val="86"/>
    <w:family w:val="auto"/>
    <w:pitch w:val="default"/>
    <w:sig w:usb0="00000003" w:usb1="080E0000" w:usb2="00000000" w:usb3="00000000" w:csb0="00040000" w:csb1="00000000"/>
  </w:font>
  <w:font w:name="方正大标宋简体">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numPr>
        <w:ilvl w:val="0"/>
        <w:numId w:val="1"/>
      </w:numPr>
      <w:wordWrap w:val="0"/>
      <w:ind w:left="3737" w:right="210" w:rightChars="100" w:firstLine="0"/>
      <w:jc w:val="right"/>
      <w:rPr>
        <w:rFonts w:ascii="宋体" w:hAnsi="宋体" w:eastAsia="宋体"/>
        <w:sz w:val="28"/>
        <w:szCs w:val="28"/>
      </w:rPr>
    </w:pP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5</w:t>
    </w:r>
    <w:r>
      <w:rPr>
        <w:rFonts w:ascii="宋体" w:hAnsi="宋体" w:eastAsia="宋体"/>
        <w:sz w:val="28"/>
        <w:szCs w:val="28"/>
      </w:rPr>
      <w:fldChar w:fldCharType="end"/>
    </w:r>
    <w:r>
      <w:rPr>
        <w:rFonts w:ascii="宋体" w:hAnsi="宋体" w:eastAsia="宋体"/>
        <w:sz w:val="28"/>
        <w:szCs w:val="28"/>
      </w:rPr>
      <w:t xml:space="preserve"> —</w:t>
    </w:r>
  </w:p>
  <w:p>
    <w:pPr>
      <w:pStyle w:val="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left="210" w:leftChars="100"/>
      <w:rPr>
        <w:rFonts w:ascii="宋体" w:hAnsi="宋体"/>
        <w:sz w:val="28"/>
        <w:szCs w:val="28"/>
      </w:rPr>
    </w:pPr>
    <w:r>
      <w:rPr>
        <w:rFonts w:ascii="宋体" w:hAnsi="宋体"/>
        <w:sz w:val="28"/>
        <w:szCs w:val="28"/>
      </w:rPr>
      <w:t xml:space="preserve">— </w:t>
    </w:r>
    <w:r>
      <w:rPr>
        <w:rFonts w:ascii="宋体" w:hAnsi="宋体"/>
        <w:sz w:val="28"/>
        <w:szCs w:val="28"/>
      </w:rPr>
      <w:fldChar w:fldCharType="begin"/>
    </w:r>
    <w:r>
      <w:rPr>
        <w:rFonts w:ascii="宋体" w:hAnsi="宋体"/>
        <w:sz w:val="28"/>
        <w:szCs w:val="28"/>
      </w:rPr>
      <w:instrText xml:space="preserve">PAGE   \* MERGEFORMAT</w:instrText>
    </w:r>
    <w:r>
      <w:rPr>
        <w:rFonts w:ascii="宋体" w:hAnsi="宋体"/>
        <w:sz w:val="28"/>
        <w:szCs w:val="28"/>
      </w:rPr>
      <w:fldChar w:fldCharType="separate"/>
    </w:r>
    <w:r>
      <w:rPr>
        <w:rFonts w:ascii="宋体" w:hAnsi="宋体"/>
        <w:sz w:val="28"/>
        <w:szCs w:val="28"/>
        <w:lang w:val="zh-CN"/>
      </w:rPr>
      <w:t>6</w:t>
    </w:r>
    <w:r>
      <w:rPr>
        <w:rFonts w:ascii="宋体" w:hAnsi="宋体"/>
        <w:sz w:val="28"/>
        <w:szCs w:val="28"/>
      </w:rPr>
      <w:fldChar w:fldCharType="end"/>
    </w:r>
    <w:r>
      <w:rPr>
        <w:rFonts w:ascii="宋体" w:hAnsi="宋体"/>
        <w:sz w:val="28"/>
        <w:szCs w:val="28"/>
      </w:rPr>
      <w:t xml:space="preserve"> — </w:t>
    </w:r>
  </w:p>
  <w:p>
    <w:pPr>
      <w:pStyle w:val="3"/>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2FE0676"/>
    <w:multiLevelType w:val="multilevel"/>
    <w:tmpl w:val="62FE0676"/>
    <w:lvl w:ilvl="0" w:tentative="0">
      <w:start w:val="0"/>
      <w:numFmt w:val="bullet"/>
      <w:lvlText w:val="—"/>
      <w:lvlJc w:val="left"/>
      <w:pPr>
        <w:ind w:left="4095" w:hanging="360"/>
      </w:pPr>
      <w:rPr>
        <w:rFonts w:hint="eastAsia" w:ascii="宋体" w:hAnsi="宋体" w:eastAsia="宋体" w:cs="Times New Roman"/>
      </w:rPr>
    </w:lvl>
    <w:lvl w:ilvl="1" w:tentative="0">
      <w:start w:val="1"/>
      <w:numFmt w:val="bullet"/>
      <w:lvlText w:val=""/>
      <w:lvlJc w:val="left"/>
      <w:pPr>
        <w:ind w:left="4575" w:hanging="420"/>
      </w:pPr>
      <w:rPr>
        <w:rFonts w:hint="default" w:ascii="Wingdings" w:hAnsi="Wingdings"/>
      </w:rPr>
    </w:lvl>
    <w:lvl w:ilvl="2" w:tentative="0">
      <w:start w:val="1"/>
      <w:numFmt w:val="bullet"/>
      <w:lvlText w:val=""/>
      <w:lvlJc w:val="left"/>
      <w:pPr>
        <w:ind w:left="4995" w:hanging="420"/>
      </w:pPr>
      <w:rPr>
        <w:rFonts w:hint="default" w:ascii="Wingdings" w:hAnsi="Wingdings"/>
      </w:rPr>
    </w:lvl>
    <w:lvl w:ilvl="3" w:tentative="0">
      <w:start w:val="1"/>
      <w:numFmt w:val="bullet"/>
      <w:lvlText w:val=""/>
      <w:lvlJc w:val="left"/>
      <w:pPr>
        <w:ind w:left="5415" w:hanging="420"/>
      </w:pPr>
      <w:rPr>
        <w:rFonts w:hint="default" w:ascii="Wingdings" w:hAnsi="Wingdings"/>
      </w:rPr>
    </w:lvl>
    <w:lvl w:ilvl="4" w:tentative="0">
      <w:start w:val="1"/>
      <w:numFmt w:val="bullet"/>
      <w:lvlText w:val=""/>
      <w:lvlJc w:val="left"/>
      <w:pPr>
        <w:ind w:left="5835" w:hanging="420"/>
      </w:pPr>
      <w:rPr>
        <w:rFonts w:hint="default" w:ascii="Wingdings" w:hAnsi="Wingdings"/>
      </w:rPr>
    </w:lvl>
    <w:lvl w:ilvl="5" w:tentative="0">
      <w:start w:val="1"/>
      <w:numFmt w:val="bullet"/>
      <w:lvlText w:val=""/>
      <w:lvlJc w:val="left"/>
      <w:pPr>
        <w:ind w:left="6255" w:hanging="420"/>
      </w:pPr>
      <w:rPr>
        <w:rFonts w:hint="default" w:ascii="Wingdings" w:hAnsi="Wingdings"/>
      </w:rPr>
    </w:lvl>
    <w:lvl w:ilvl="6" w:tentative="0">
      <w:start w:val="1"/>
      <w:numFmt w:val="bullet"/>
      <w:lvlText w:val=""/>
      <w:lvlJc w:val="left"/>
      <w:pPr>
        <w:ind w:left="6675" w:hanging="420"/>
      </w:pPr>
      <w:rPr>
        <w:rFonts w:hint="default" w:ascii="Wingdings" w:hAnsi="Wingdings"/>
      </w:rPr>
    </w:lvl>
    <w:lvl w:ilvl="7" w:tentative="0">
      <w:start w:val="1"/>
      <w:numFmt w:val="bullet"/>
      <w:lvlText w:val=""/>
      <w:lvlJc w:val="left"/>
      <w:pPr>
        <w:ind w:left="7095" w:hanging="420"/>
      </w:pPr>
      <w:rPr>
        <w:rFonts w:hint="default" w:ascii="Wingdings" w:hAnsi="Wingdings"/>
      </w:rPr>
    </w:lvl>
    <w:lvl w:ilvl="8" w:tentative="0">
      <w:start w:val="1"/>
      <w:numFmt w:val="bullet"/>
      <w:lvlText w:val=""/>
      <w:lvlJc w:val="left"/>
      <w:pPr>
        <w:ind w:left="7515" w:hanging="42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attachedTemplate r:id="rId1"/>
  <w:documentProtection w:enforcement="0"/>
  <w:defaultTabStop w:val="420"/>
  <w:evenAndOddHeaders w:val="1"/>
  <w:drawingGridHorizontalSpacing w:val="158"/>
  <w:drawingGridVerticalSpacing w:val="579"/>
  <w:displayHorizont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543E"/>
    <w:rsid w:val="00022E35"/>
    <w:rsid w:val="0006373D"/>
    <w:rsid w:val="00096D98"/>
    <w:rsid w:val="001B543E"/>
    <w:rsid w:val="00210E6D"/>
    <w:rsid w:val="00210EB1"/>
    <w:rsid w:val="00231EA5"/>
    <w:rsid w:val="002B3AB8"/>
    <w:rsid w:val="003C7C63"/>
    <w:rsid w:val="00432C4D"/>
    <w:rsid w:val="00445EAB"/>
    <w:rsid w:val="004E3251"/>
    <w:rsid w:val="00580ECB"/>
    <w:rsid w:val="00612A1F"/>
    <w:rsid w:val="00660229"/>
    <w:rsid w:val="00674EFB"/>
    <w:rsid w:val="006906EF"/>
    <w:rsid w:val="00697F2A"/>
    <w:rsid w:val="006A527D"/>
    <w:rsid w:val="006B699C"/>
    <w:rsid w:val="00753620"/>
    <w:rsid w:val="00793CDD"/>
    <w:rsid w:val="007E5484"/>
    <w:rsid w:val="0085783C"/>
    <w:rsid w:val="00861AAE"/>
    <w:rsid w:val="00920603"/>
    <w:rsid w:val="00922A1F"/>
    <w:rsid w:val="009D3B33"/>
    <w:rsid w:val="00B41A72"/>
    <w:rsid w:val="00B72F44"/>
    <w:rsid w:val="00BB30FF"/>
    <w:rsid w:val="00E032ED"/>
    <w:rsid w:val="00EB3E00"/>
    <w:rsid w:val="00FC0599"/>
    <w:rsid w:val="0775673A"/>
    <w:rsid w:val="12491D0D"/>
    <w:rsid w:val="13AA7738"/>
    <w:rsid w:val="1CA5077B"/>
    <w:rsid w:val="222541A6"/>
    <w:rsid w:val="29781296"/>
    <w:rsid w:val="320C2D45"/>
    <w:rsid w:val="5AE16AA6"/>
    <w:rsid w:val="6C805BB4"/>
    <w:rsid w:val="7B366831"/>
  </w:rsids>
  <m:mathPr>
    <m:lMargin m:val="0"/>
    <m:mathFont m:val="Cambria Math"/>
    <m:rMargin m:val="0"/>
    <m:wrapIndent m:val="1440"/>
    <m:brkBin m:val="before"/>
    <m:brkBinSub m:val="--"/>
    <m:defJc m:val="centerGroup"/>
    <m:intLim m:val="subSup"/>
    <m:naryLim m:val="undOvr"/>
    <m:smallFrac m:val="0"/>
    <m:dispDef/>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99"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semiHidden="0"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iPriority="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1"/>
      <w:lang w:val="en-US" w:eastAsia="zh-CN" w:bidi="ar-SA"/>
    </w:rPr>
  </w:style>
  <w:style w:type="character" w:default="1" w:styleId="6">
    <w:name w:val="Default Paragraph Font"/>
    <w:unhideWhenUsed/>
    <w:uiPriority w:val="1"/>
  </w:style>
  <w:style w:type="table" w:default="1" w:styleId="7">
    <w:name w:val="Normal Table"/>
    <w:unhideWhenUsed/>
    <w:uiPriority w:val="99"/>
    <w:tblPr>
      <w:tblLayout w:type="fixed"/>
      <w:tblCellMar>
        <w:top w:w="0" w:type="dxa"/>
        <w:left w:w="108" w:type="dxa"/>
        <w:bottom w:w="0" w:type="dxa"/>
        <w:right w:w="108" w:type="dxa"/>
      </w:tblCellMar>
    </w:tblPr>
  </w:style>
  <w:style w:type="paragraph" w:styleId="2">
    <w:name w:val="Balloon Text"/>
    <w:basedOn w:val="1"/>
    <w:link w:val="10"/>
    <w:uiPriority w:val="0"/>
    <w:rPr>
      <w:rFonts w:eastAsia="仿宋_GB2312"/>
      <w:sz w:val="18"/>
      <w:szCs w:val="18"/>
    </w:rPr>
  </w:style>
  <w:style w:type="paragraph" w:styleId="3">
    <w:name w:val="footer"/>
    <w:basedOn w:val="1"/>
    <w:link w:val="8"/>
    <w:qFormat/>
    <w:uiPriority w:val="99"/>
    <w:pPr>
      <w:tabs>
        <w:tab w:val="center" w:pos="4153"/>
        <w:tab w:val="right" w:pos="8306"/>
      </w:tabs>
      <w:snapToGrid w:val="0"/>
      <w:jc w:val="left"/>
    </w:pPr>
    <w:rPr>
      <w:rFonts w:eastAsia="仿宋_GB2312"/>
      <w:sz w:val="18"/>
      <w:szCs w:val="18"/>
    </w:rPr>
  </w:style>
  <w:style w:type="paragraph" w:styleId="4">
    <w:name w:val="header"/>
    <w:basedOn w:val="1"/>
    <w:link w:val="9"/>
    <w:qFormat/>
    <w:uiPriority w:val="0"/>
    <w:pPr>
      <w:pBdr>
        <w:bottom w:val="single" w:color="auto" w:sz="6" w:space="1"/>
      </w:pBdr>
      <w:tabs>
        <w:tab w:val="center" w:pos="4153"/>
        <w:tab w:val="right" w:pos="8306"/>
      </w:tabs>
      <w:snapToGrid w:val="0"/>
      <w:jc w:val="center"/>
    </w:pPr>
    <w:rPr>
      <w:rFonts w:eastAsia="仿宋_GB2312"/>
      <w:sz w:val="18"/>
      <w:szCs w:val="18"/>
    </w:rPr>
  </w:style>
  <w:style w:type="paragraph" w:styleId="5">
    <w:name w:val="HTML Preformatted"/>
    <w:basedOn w:val="1"/>
    <w:link w:val="11"/>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eastAsia="仿宋_GB2312" w:cs="宋体"/>
      <w:kern w:val="0"/>
      <w:sz w:val="32"/>
      <w:szCs w:val="24"/>
    </w:rPr>
  </w:style>
  <w:style w:type="character" w:customStyle="1" w:styleId="8">
    <w:name w:val="页脚 字符"/>
    <w:link w:val="3"/>
    <w:qFormat/>
    <w:uiPriority w:val="99"/>
    <w:rPr>
      <w:kern w:val="2"/>
      <w:sz w:val="18"/>
      <w:szCs w:val="18"/>
    </w:rPr>
  </w:style>
  <w:style w:type="character" w:customStyle="1" w:styleId="9">
    <w:name w:val="页眉 字符"/>
    <w:link w:val="4"/>
    <w:qFormat/>
    <w:uiPriority w:val="0"/>
    <w:rPr>
      <w:kern w:val="2"/>
      <w:sz w:val="18"/>
      <w:szCs w:val="18"/>
    </w:rPr>
  </w:style>
  <w:style w:type="character" w:customStyle="1" w:styleId="10">
    <w:name w:val="批注框文本 字符"/>
    <w:link w:val="2"/>
    <w:qFormat/>
    <w:uiPriority w:val="0"/>
    <w:rPr>
      <w:rFonts w:eastAsia="仿宋_GB2312"/>
      <w:kern w:val="2"/>
      <w:sz w:val="18"/>
      <w:szCs w:val="18"/>
    </w:rPr>
  </w:style>
  <w:style w:type="character" w:customStyle="1" w:styleId="11">
    <w:name w:val="HTML 预设格式 字符"/>
    <w:basedOn w:val="6"/>
    <w:link w:val="5"/>
    <w:qFormat/>
    <w:uiPriority w:val="99"/>
    <w:rPr>
      <w:rFonts w:ascii="宋体" w:hAnsi="宋体" w:eastAsia="仿宋_GB2312" w:cs="宋体"/>
      <w:sz w:val="32"/>
      <w:szCs w:val="24"/>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D:\&#38472;&#31435;&#24179;\1.&#21521;&#20840;&#22269;&#20154;&#22823;&#12289;&#22269;&#21153;&#38498;&#25253;&#22791;&#24037;&#20316;\&#27861;&#35268;&#19978;&#25253;&#22791;&#26696;&#30005;&#23376;&#29256;\&#27861;&#35268;&#30005;&#23376;&#25991;&#26412;&#25253;&#22791;&#27169;&#26495;\&#27491;&#25991;.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正文</Template>
  <Company>Microsoft</Company>
  <Pages>9</Pages>
  <Words>633</Words>
  <Characters>3613</Characters>
  <Lines>30</Lines>
  <Paragraphs>8</Paragraphs>
  <ScaleCrop>false</ScaleCrop>
  <LinksUpToDate>false</LinksUpToDate>
  <CharactersWithSpaces>4238</CharactersWithSpaces>
  <Application>WPS Office_10.8.0.5715_F1E327BC-269C-435d-A152-05C5408002CA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2017-10-29T08:02:00Z</dcterms:created>
  <dc:creator>匿名用户</dc:creator>
  <cp:lastModifiedBy>Byron</cp:lastModifiedBy>
  <cp:lastPrinted>2017-10-27T03:07:00Z</cp:lastPrinted>
  <dcterms:modified xsi:type="dcterms:W3CDTF">2017-10-29T11:01:51Z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2052-10.8.0.5715</vt:lpwstr>
  </property>
</Properties>
</file>