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1"/>
        <w:widowControl w:val="0"/>
        <w:wordWrap/>
        <w:adjustRightInd w:val="0"/>
        <w:spacing w:line="590" w:lineRule="exact"/>
        <w:jc w:val="both"/>
        <w:textAlignment w:val="auto"/>
        <w:outlineLvl w:val="9"/>
        <w:rPr>
          <w:rFonts w:hint="eastAsia" w:ascii="宋体" w:hAnsi="宋体" w:eastAsia="方正小标宋简体" w:cs="方正小标宋简体"/>
          <w:kern w:val="0"/>
          <w:sz w:val="44"/>
          <w:szCs w:val="41"/>
        </w:rPr>
      </w:pPr>
    </w:p>
    <w:p>
      <w:pPr>
        <w:pStyle w:val="11"/>
        <w:widowControl w:val="0"/>
        <w:wordWrap/>
        <w:adjustRightInd w:val="0"/>
        <w:spacing w:line="590" w:lineRule="exact"/>
        <w:jc w:val="both"/>
        <w:textAlignment w:val="auto"/>
        <w:outlineLvl w:val="9"/>
        <w:rPr>
          <w:rFonts w:hint="eastAsia" w:ascii="宋体" w:hAnsi="宋体" w:eastAsia="方正小标宋简体" w:cs="方正小标宋简体"/>
          <w:kern w:val="0"/>
          <w:sz w:val="44"/>
          <w:szCs w:val="41"/>
        </w:rPr>
      </w:pPr>
    </w:p>
    <w:p>
      <w:pPr>
        <w:widowControl w:val="0"/>
        <w:wordWrap/>
        <w:adjustRightInd w:val="0"/>
        <w:spacing w:line="590" w:lineRule="exact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广东省人民代表大会常务委员会关于</w:t>
      </w:r>
    </w:p>
    <w:p>
      <w:pPr>
        <w:widowControl w:val="0"/>
        <w:wordWrap/>
        <w:adjustRightInd w:val="0"/>
        <w:spacing w:line="590" w:lineRule="exact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在广州市、深圳市调整实施本省有关地方性</w:t>
      </w:r>
    </w:p>
    <w:p>
      <w:pPr>
        <w:widowControl w:val="0"/>
        <w:wordWrap/>
        <w:adjustRightInd w:val="0"/>
        <w:spacing w:line="590" w:lineRule="exact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法规规定的决定</w:t>
      </w:r>
    </w:p>
    <w:p>
      <w:pPr>
        <w:widowControl w:val="0"/>
        <w:wordWrap/>
        <w:adjustRightInd w:val="0"/>
        <w:spacing w:line="590" w:lineRule="exact"/>
        <w:jc w:val="both"/>
        <w:textAlignment w:val="auto"/>
        <w:outlineLvl w:val="9"/>
        <w:rPr>
          <w:rFonts w:hint="eastAsia" w:ascii="宋体" w:hAnsi="宋体"/>
        </w:rPr>
      </w:pPr>
    </w:p>
    <w:p>
      <w:pPr>
        <w:pStyle w:val="11"/>
        <w:widowControl w:val="0"/>
        <w:wordWrap/>
        <w:adjustRightInd w:val="0"/>
        <w:snapToGrid/>
        <w:spacing w:line="590" w:lineRule="exact"/>
        <w:ind w:left="632" w:leftChars="200" w:right="632" w:rightChars="200" w:firstLine="0" w:firstLineChars="0"/>
        <w:jc w:val="both"/>
        <w:textAlignment w:val="auto"/>
        <w:outlineLvl w:val="9"/>
        <w:rPr>
          <w:rFonts w:ascii="宋体" w:hAnsi="宋体" w:eastAsia="楷体_GB2312"/>
          <w:szCs w:val="32"/>
        </w:rPr>
      </w:pPr>
      <w:r>
        <w:rPr>
          <w:rFonts w:ascii="宋体" w:hAnsi="宋体" w:eastAsia="楷体_GB2312"/>
          <w:szCs w:val="32"/>
        </w:rPr>
        <w:t>（201</w:t>
      </w:r>
      <w:r>
        <w:rPr>
          <w:rFonts w:hint="eastAsia" w:ascii="宋体" w:hAnsi="宋体" w:eastAsia="楷体_GB2312"/>
          <w:szCs w:val="32"/>
          <w:lang w:val="en-US" w:eastAsia="zh-CN"/>
        </w:rPr>
        <w:t>7</w:t>
      </w:r>
      <w:r>
        <w:rPr>
          <w:rFonts w:ascii="宋体" w:hAnsi="宋体" w:eastAsia="楷体_GB2312"/>
          <w:szCs w:val="32"/>
        </w:rPr>
        <w:t>年</w:t>
      </w:r>
      <w:r>
        <w:rPr>
          <w:rFonts w:hint="eastAsia" w:ascii="宋体" w:hAnsi="宋体" w:eastAsia="楷体_GB2312"/>
          <w:szCs w:val="32"/>
          <w:lang w:val="en-US" w:eastAsia="zh-CN"/>
        </w:rPr>
        <w:t>7</w:t>
      </w:r>
      <w:r>
        <w:rPr>
          <w:rFonts w:ascii="宋体" w:hAnsi="宋体" w:eastAsia="楷体_GB2312"/>
          <w:szCs w:val="32"/>
        </w:rPr>
        <w:t>月</w:t>
      </w:r>
      <w:r>
        <w:rPr>
          <w:rFonts w:hint="eastAsia" w:ascii="宋体" w:hAnsi="宋体" w:eastAsia="楷体_GB2312"/>
          <w:szCs w:val="32"/>
          <w:lang w:val="en-US" w:eastAsia="zh-CN"/>
        </w:rPr>
        <w:t>27</w:t>
      </w:r>
      <w:r>
        <w:rPr>
          <w:rFonts w:ascii="宋体" w:hAnsi="宋体" w:eastAsia="楷体_GB2312"/>
          <w:szCs w:val="32"/>
        </w:rPr>
        <w:t>日广东省第十二届人民代表大会常务委员会第</w:t>
      </w:r>
      <w:r>
        <w:rPr>
          <w:rFonts w:hint="eastAsia" w:ascii="宋体" w:hAnsi="宋体" w:eastAsia="楷体_GB2312"/>
          <w:szCs w:val="32"/>
          <w:lang w:eastAsia="zh-CN"/>
        </w:rPr>
        <w:t>三</w:t>
      </w:r>
      <w:r>
        <w:rPr>
          <w:rFonts w:ascii="宋体" w:hAnsi="宋体" w:eastAsia="楷体_GB2312"/>
          <w:szCs w:val="32"/>
        </w:rPr>
        <w:t>十</w:t>
      </w:r>
      <w:r>
        <w:rPr>
          <w:rFonts w:hint="eastAsia" w:ascii="宋体" w:hAnsi="宋体" w:eastAsia="楷体_GB2312"/>
          <w:szCs w:val="32"/>
          <w:lang w:eastAsia="zh-CN"/>
        </w:rPr>
        <w:t>四</w:t>
      </w:r>
      <w:r>
        <w:rPr>
          <w:rFonts w:ascii="宋体" w:hAnsi="宋体" w:eastAsia="楷体_GB2312"/>
          <w:szCs w:val="32"/>
        </w:rPr>
        <w:t>次会议通过</w:t>
      </w:r>
      <w:r>
        <w:rPr>
          <w:rFonts w:hint="eastAsia" w:ascii="宋体" w:hAnsi="宋体" w:eastAsia="楷体_GB2312"/>
          <w:szCs w:val="32"/>
          <w:lang w:val="en-US" w:eastAsia="zh-CN"/>
        </w:rPr>
        <w:t xml:space="preserve">  2017年7月27日公布  自2017年7月27日起施行</w:t>
      </w:r>
      <w:r>
        <w:rPr>
          <w:rFonts w:ascii="宋体" w:hAnsi="宋体" w:eastAsia="楷体_GB2312"/>
          <w:szCs w:val="32"/>
        </w:rPr>
        <w:t>）</w:t>
      </w:r>
    </w:p>
    <w:p>
      <w:pPr>
        <w:pStyle w:val="11"/>
        <w:widowControl w:val="0"/>
        <w:wordWrap/>
        <w:adjustRightInd w:val="0"/>
        <w:snapToGrid/>
        <w:spacing w:line="590" w:lineRule="exact"/>
        <w:ind w:left="632" w:leftChars="200" w:right="632" w:rightChars="200" w:firstLine="0" w:firstLineChars="0"/>
        <w:jc w:val="both"/>
        <w:textAlignment w:val="auto"/>
        <w:outlineLvl w:val="9"/>
        <w:rPr>
          <w:rFonts w:ascii="宋体" w:hAnsi="宋体" w:eastAsia="楷体_GB2312"/>
          <w:szCs w:val="32"/>
        </w:rPr>
      </w:pPr>
    </w:p>
    <w:p>
      <w:pPr>
        <w:widowControl w:val="0"/>
        <w:wordWrap/>
        <w:adjustRightInd w:val="0"/>
        <w:snapToGrid/>
        <w:spacing w:line="59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宋体" w:hAnsi="宋体" w:cs="Times New Roman"/>
          <w:sz w:val="32"/>
          <w:lang w:val="en-US" w:eastAsia="zh-CN"/>
        </w:rPr>
      </w:pPr>
      <w:r>
        <w:rPr>
          <w:rFonts w:hint="eastAsia" w:ascii="宋体" w:hAnsi="宋体" w:cs="Times New Roman"/>
          <w:sz w:val="32"/>
          <w:lang w:val="en-US" w:eastAsia="zh-CN"/>
        </w:rPr>
        <w:t>为了进一步转变政府职能和深化简政放权、放管结合、优化服务改革，根据广州市、深圳市经济社会发展需要，广东省第十二届人民代表大会常务委员会第三十四次会议决定：在广州市、深圳市调整实施本省有关地方性法规规定（具体事项目录附后）。</w:t>
      </w:r>
    </w:p>
    <w:p>
      <w:pPr>
        <w:widowControl w:val="0"/>
        <w:wordWrap/>
        <w:adjustRightInd w:val="0"/>
        <w:snapToGrid/>
        <w:spacing w:line="59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宋体" w:hAnsi="宋体" w:cs="Times New Roman"/>
          <w:sz w:val="32"/>
          <w:lang w:val="en-US" w:eastAsia="zh-CN"/>
        </w:rPr>
      </w:pPr>
      <w:r>
        <w:rPr>
          <w:rFonts w:hint="eastAsia" w:ascii="宋体" w:hAnsi="宋体" w:cs="Times New Roman"/>
          <w:sz w:val="32"/>
          <w:lang w:val="en-US" w:eastAsia="zh-CN"/>
        </w:rPr>
        <w:t>本决定自公布之日起施行。</w:t>
      </w:r>
    </w:p>
    <w:p>
      <w:pPr>
        <w:widowControl w:val="0"/>
        <w:wordWrap/>
        <w:adjustRightInd w:val="0"/>
        <w:snapToGrid/>
        <w:spacing w:line="59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宋体" w:hAnsi="宋体" w:cs="Times New Roman"/>
          <w:sz w:val="32"/>
          <w:lang w:val="en-US" w:eastAsia="zh-CN"/>
        </w:rPr>
      </w:pPr>
    </w:p>
    <w:p>
      <w:pPr>
        <w:widowControl w:val="0"/>
        <w:wordWrap/>
        <w:adjustRightInd w:val="0"/>
        <w:snapToGrid/>
        <w:spacing w:before="179" w:beforeLines="30" w:line="59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在广州市、深圳市调整实施本省有关</w:t>
      </w:r>
    </w:p>
    <w:p>
      <w:pPr>
        <w:widowControl w:val="0"/>
        <w:wordWrap/>
        <w:adjustRightInd w:val="0"/>
        <w:snapToGrid/>
        <w:spacing w:line="59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地方性法规规定事项目录</w:t>
      </w:r>
    </w:p>
    <w:p>
      <w:pPr>
        <w:widowControl w:val="0"/>
        <w:wordWrap/>
        <w:adjustRightInd w:val="0"/>
        <w:snapToGrid/>
        <w:spacing w:line="59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宋体" w:hAnsi="宋体" w:cs="Times New Roman"/>
          <w:sz w:val="32"/>
          <w:lang w:val="en-US" w:eastAsia="zh-CN"/>
        </w:rPr>
      </w:pPr>
      <w:r>
        <w:rPr>
          <w:rFonts w:hint="eastAsia" w:ascii="宋体" w:hAnsi="宋体" w:cs="Times New Roman"/>
          <w:sz w:val="32"/>
          <w:lang w:val="en-US" w:eastAsia="zh-CN"/>
        </w:rPr>
        <w:t>序号：1  名称：古树名木移植审核审批</w:t>
      </w:r>
    </w:p>
    <w:p>
      <w:pPr>
        <w:widowControl w:val="0"/>
        <w:wordWrap/>
        <w:adjustRightInd w:val="0"/>
        <w:snapToGrid/>
        <w:spacing w:line="59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宋体" w:hAnsi="宋体" w:cs="Times New Roman"/>
          <w:sz w:val="32"/>
          <w:lang w:val="en-US" w:eastAsia="zh-CN"/>
        </w:rPr>
      </w:pPr>
      <w:r>
        <w:rPr>
          <w:rFonts w:hint="eastAsia" w:ascii="宋体" w:hAnsi="宋体" w:cs="Times New Roman"/>
          <w:sz w:val="32"/>
          <w:lang w:val="en-US" w:eastAsia="zh-CN"/>
        </w:rPr>
        <w:t>地方性法规规定：《广东省城市绿化条例》第三十一条</w:t>
      </w:r>
    </w:p>
    <w:p>
      <w:pPr>
        <w:widowControl w:val="0"/>
        <w:wordWrap/>
        <w:adjustRightInd w:val="0"/>
        <w:snapToGrid/>
        <w:spacing w:line="59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宋体" w:hAnsi="宋体" w:cs="Times New Roman"/>
          <w:sz w:val="32"/>
          <w:lang w:val="en-US" w:eastAsia="zh-CN"/>
        </w:rPr>
      </w:pPr>
      <w:r>
        <w:rPr>
          <w:rFonts w:hint="eastAsia" w:ascii="宋体" w:hAnsi="宋体" w:cs="Times New Roman"/>
          <w:sz w:val="32"/>
          <w:lang w:val="en-US" w:eastAsia="zh-CN"/>
        </w:rPr>
        <w:t>调整内容：该项行政许可由省住房城乡建设主管部门审核、省人民政府审批调整为广州市、深圳市城市绿化行政主管部门审核，广州市、深圳市人民政府审批</w:t>
      </w:r>
    </w:p>
    <w:p>
      <w:pPr>
        <w:widowControl w:val="0"/>
        <w:wordWrap/>
        <w:adjustRightInd w:val="0"/>
        <w:snapToGrid/>
        <w:spacing w:line="59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宋体" w:hAnsi="宋体" w:cs="Times New Roman"/>
          <w:sz w:val="32"/>
          <w:lang w:val="en-US" w:eastAsia="zh-CN"/>
        </w:rPr>
      </w:pPr>
      <w:r>
        <w:rPr>
          <w:rFonts w:hint="eastAsia" w:ascii="宋体" w:hAnsi="宋体" w:cs="Times New Roman"/>
          <w:sz w:val="32"/>
          <w:lang w:val="en-US" w:eastAsia="zh-CN"/>
        </w:rPr>
        <w:t>序号：2  名称：国家和省批准、核准的建设项目规划选址意见书核发</w:t>
      </w:r>
    </w:p>
    <w:p>
      <w:pPr>
        <w:widowControl w:val="0"/>
        <w:wordWrap/>
        <w:adjustRightInd w:val="0"/>
        <w:snapToGrid/>
        <w:spacing w:line="59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宋体" w:hAnsi="宋体" w:cs="Times New Roman"/>
          <w:sz w:val="32"/>
          <w:lang w:val="en-US" w:eastAsia="zh-CN"/>
        </w:rPr>
      </w:pPr>
      <w:r>
        <w:rPr>
          <w:rFonts w:hint="eastAsia" w:ascii="宋体" w:hAnsi="宋体" w:cs="Times New Roman"/>
          <w:sz w:val="32"/>
          <w:lang w:val="en-US" w:eastAsia="zh-CN"/>
        </w:rPr>
        <w:t>地方性法规规定：《广东省城乡规划条例》第三十二条、第三十三条</w:t>
      </w:r>
    </w:p>
    <w:p>
      <w:pPr>
        <w:widowControl w:val="0"/>
        <w:wordWrap/>
        <w:adjustRightInd w:val="0"/>
        <w:snapToGrid/>
        <w:spacing w:line="59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宋体" w:hAnsi="宋体" w:cs="Times New Roman"/>
          <w:sz w:val="32"/>
          <w:lang w:val="en-US" w:eastAsia="zh-CN"/>
        </w:rPr>
      </w:pPr>
      <w:r>
        <w:rPr>
          <w:rFonts w:hint="eastAsia" w:ascii="宋体" w:hAnsi="宋体" w:cs="Times New Roman"/>
          <w:sz w:val="32"/>
          <w:lang w:val="en-US" w:eastAsia="zh-CN"/>
        </w:rPr>
        <w:t>调整内容：该项行政许可的实施机关由省住房城乡建设主管部门调整为广州市、深圳市城乡规划主管部门</w:t>
      </w:r>
    </w:p>
    <w:p>
      <w:pPr>
        <w:widowControl w:val="0"/>
        <w:wordWrap/>
        <w:adjustRightInd w:val="0"/>
        <w:snapToGrid/>
        <w:spacing w:line="59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宋体" w:hAnsi="宋体" w:cs="Times New Roman"/>
          <w:sz w:val="32"/>
          <w:lang w:val="en-US" w:eastAsia="zh-CN"/>
        </w:rPr>
      </w:pPr>
      <w:r>
        <w:rPr>
          <w:rFonts w:hint="eastAsia" w:ascii="宋体" w:hAnsi="宋体" w:cs="Times New Roman"/>
          <w:sz w:val="32"/>
          <w:lang w:val="en-US" w:eastAsia="zh-CN"/>
        </w:rPr>
        <w:t>序号：3  名称：直通港澳道路运输企业经营许可证及车辆道路运输证核准（货物运输）</w:t>
      </w:r>
    </w:p>
    <w:p>
      <w:pPr>
        <w:widowControl w:val="0"/>
        <w:wordWrap/>
        <w:adjustRightInd w:val="0"/>
        <w:snapToGrid/>
        <w:spacing w:line="59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宋体" w:hAnsi="宋体" w:cs="Times New Roman"/>
          <w:sz w:val="32"/>
          <w:lang w:val="en-US" w:eastAsia="zh-CN"/>
        </w:rPr>
      </w:pPr>
      <w:r>
        <w:rPr>
          <w:rFonts w:hint="eastAsia" w:ascii="宋体" w:hAnsi="宋体" w:cs="Times New Roman"/>
          <w:sz w:val="32"/>
          <w:lang w:val="en-US" w:eastAsia="zh-CN"/>
        </w:rPr>
        <w:t>地方性法规规定：《广东省道路运输条例》第二十三条</w:t>
      </w:r>
    </w:p>
    <w:p>
      <w:pPr>
        <w:widowControl w:val="0"/>
        <w:wordWrap/>
        <w:adjustRightInd w:val="0"/>
        <w:snapToGrid/>
        <w:spacing w:line="59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宋体" w:hAnsi="宋体" w:cs="Times New Roman"/>
          <w:sz w:val="32"/>
          <w:lang w:val="en-US" w:eastAsia="zh-CN"/>
        </w:rPr>
      </w:pPr>
      <w:r>
        <w:rPr>
          <w:rFonts w:hint="eastAsia" w:ascii="宋体" w:hAnsi="宋体" w:cs="Times New Roman"/>
          <w:sz w:val="32"/>
          <w:lang w:val="en-US" w:eastAsia="zh-CN"/>
        </w:rPr>
        <w:t>调整内容：该项行政许可的实施机关由省交通运输主管部门调整为广州市、深圳市交通运输主管部门</w:t>
      </w:r>
    </w:p>
    <w:p>
      <w:pPr>
        <w:widowControl w:val="0"/>
        <w:wordWrap/>
        <w:adjustRightInd w:val="0"/>
        <w:snapToGrid/>
        <w:spacing w:line="59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宋体" w:hAnsi="宋体" w:cs="Times New Roman"/>
          <w:sz w:val="32"/>
          <w:lang w:val="en-US" w:eastAsia="zh-CN"/>
        </w:rPr>
      </w:pPr>
      <w:r>
        <w:rPr>
          <w:rFonts w:hint="eastAsia" w:ascii="宋体" w:hAnsi="宋体" w:cs="Times New Roman"/>
          <w:sz w:val="32"/>
          <w:lang w:val="en-US" w:eastAsia="zh-CN"/>
        </w:rPr>
        <w:t>序号：4  名称：不涉及跨市级行政区划的珠江河口滩涂开发利用工程建设方案审批</w:t>
      </w:r>
    </w:p>
    <w:p>
      <w:pPr>
        <w:widowControl w:val="0"/>
        <w:wordWrap/>
        <w:adjustRightInd w:val="0"/>
        <w:snapToGrid/>
        <w:spacing w:line="59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宋体" w:hAnsi="宋体" w:cs="Times New Roman"/>
          <w:sz w:val="32"/>
          <w:lang w:val="en-US" w:eastAsia="zh-CN"/>
        </w:rPr>
      </w:pPr>
      <w:r>
        <w:rPr>
          <w:rFonts w:hint="eastAsia" w:ascii="宋体" w:hAnsi="宋体" w:cs="Times New Roman"/>
          <w:sz w:val="32"/>
          <w:lang w:val="en-US" w:eastAsia="zh-CN"/>
        </w:rPr>
        <w:t>地方性法规规定：《广东省河口滩涂管理条例》第十三条</w:t>
      </w:r>
    </w:p>
    <w:p>
      <w:pPr>
        <w:widowControl w:val="0"/>
        <w:wordWrap/>
        <w:adjustRightInd w:val="0"/>
        <w:snapToGrid/>
        <w:spacing w:line="59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宋体" w:hAnsi="宋体" w:cs="Times New Roman"/>
          <w:sz w:val="32"/>
          <w:lang w:val="en-US" w:eastAsia="zh-CN"/>
        </w:rPr>
      </w:pPr>
      <w:r>
        <w:rPr>
          <w:rFonts w:hint="eastAsia" w:ascii="宋体" w:hAnsi="宋体" w:cs="Times New Roman"/>
          <w:sz w:val="32"/>
          <w:lang w:val="en-US" w:eastAsia="zh-CN"/>
        </w:rPr>
        <w:t>调整内容：该项行政许可由省水行政主管部门审核、省人民政府审批调整为广州市、深圳市水行政主管部门审核，广州市、深圳市人民政府审批</w:t>
      </w:r>
    </w:p>
    <w:p>
      <w:pPr>
        <w:widowControl w:val="0"/>
        <w:wordWrap/>
        <w:adjustRightInd w:val="0"/>
        <w:snapToGrid/>
        <w:spacing w:line="59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宋体" w:hAnsi="宋体" w:cs="Times New Roman"/>
          <w:sz w:val="32"/>
          <w:lang w:val="en-US" w:eastAsia="zh-CN"/>
        </w:rPr>
      </w:pPr>
      <w:r>
        <w:rPr>
          <w:rFonts w:hint="eastAsia" w:ascii="宋体" w:hAnsi="宋体" w:cs="Times New Roman"/>
          <w:sz w:val="32"/>
          <w:lang w:val="en-US" w:eastAsia="zh-CN"/>
        </w:rPr>
        <w:t>序号：5  名称：行政事业性收费项目和标准审批（核准）</w:t>
      </w:r>
    </w:p>
    <w:p>
      <w:pPr>
        <w:widowControl w:val="0"/>
        <w:wordWrap/>
        <w:adjustRightInd w:val="0"/>
        <w:snapToGrid/>
        <w:spacing w:line="59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宋体" w:hAnsi="宋体" w:cs="Times New Roman"/>
          <w:sz w:val="32"/>
          <w:lang w:val="en-US" w:eastAsia="zh-CN"/>
        </w:rPr>
      </w:pPr>
      <w:r>
        <w:rPr>
          <w:rFonts w:hint="eastAsia" w:ascii="宋体" w:hAnsi="宋体" w:cs="Times New Roman"/>
          <w:sz w:val="32"/>
          <w:lang w:val="en-US" w:eastAsia="zh-CN"/>
        </w:rPr>
        <w:t>地方性法规规定：《广东省行政事业性收费管理条例》第八条</w:t>
      </w:r>
    </w:p>
    <w:p>
      <w:pPr>
        <w:widowControl w:val="0"/>
        <w:wordWrap/>
        <w:adjustRightInd w:val="0"/>
        <w:snapToGrid/>
        <w:spacing w:line="59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宋体" w:hAnsi="宋体" w:eastAsia="仿宋_GB2312" w:cs="Times New Roman"/>
          <w:sz w:val="32"/>
          <w:lang w:val="en-US" w:eastAsia="zh-CN"/>
        </w:rPr>
      </w:pPr>
      <w:r>
        <w:rPr>
          <w:rFonts w:hint="eastAsia" w:ascii="宋体" w:hAnsi="宋体" w:cs="Times New Roman"/>
          <w:sz w:val="32"/>
          <w:lang w:val="en-US" w:eastAsia="zh-CN"/>
        </w:rPr>
        <w:t>调整内容：该事项由省价格主管部门审核、省人民政府审批调整为广州市、深圳市价格主管部门审核，广州市、深圳市人民政府审批。</w:t>
      </w:r>
    </w:p>
    <w:p>
      <w:pPr>
        <w:widowControl w:val="0"/>
        <w:wordWrap/>
        <w:adjustRightInd w:val="0"/>
        <w:snapToGrid/>
        <w:spacing w:before="0" w:beforeLines="0" w:after="0" w:afterLines="0" w:line="590" w:lineRule="exact"/>
        <w:ind w:left="0" w:leftChars="0" w:right="0" w:firstLine="200" w:firstLineChars="200"/>
        <w:jc w:val="both"/>
        <w:textAlignment w:val="auto"/>
        <w:outlineLvl w:val="9"/>
        <w:rPr>
          <w:rFonts w:hint="eastAsia" w:ascii="宋体" w:hAnsi="宋体" w:eastAsia="仿宋_GB2312" w:cs="Times New Roman"/>
          <w:sz w:val="32"/>
          <w:lang w:val="en-US" w:eastAsia="zh-CN"/>
        </w:rPr>
      </w:pPr>
      <w:bookmarkStart w:id="0" w:name="_GoBack"/>
      <w:bookmarkEnd w:id="0"/>
    </w:p>
    <w:p>
      <w:pPr>
        <w:widowControl w:val="0"/>
        <w:wordWrap/>
        <w:adjustRightInd w:val="0"/>
        <w:snapToGrid/>
        <w:spacing w:before="0" w:beforeLines="0" w:after="0" w:afterLines="0" w:line="590" w:lineRule="exact"/>
        <w:ind w:right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</w:p>
    <w:sectPr>
      <w:headerReference r:id="rId4" w:type="default"/>
      <w:footerReference r:id="rId6" w:type="default"/>
      <w:headerReference r:id="rId5" w:type="even"/>
      <w:footerReference r:id="rId7" w:type="even"/>
      <w:pgSz w:w="11907" w:h="16840"/>
      <w:pgMar w:top="1984" w:right="1531" w:bottom="1871" w:left="1531" w:header="0" w:footer="1361" w:gutter="0"/>
      <w:paperSrc w:first="0" w:other="0"/>
      <w:pgNumType w:fmt="decimal" w:start="1"/>
      <w:cols w:space="720" w:num="1"/>
      <w:rtlGutter w:val="0"/>
      <w:docGrid w:type="linesAndChars" w:linePitch="590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widowControl w:val="0"/>
      <w:wordWrap w:val="0"/>
      <w:adjustRightInd w:val="0"/>
      <w:snapToGrid/>
      <w:spacing w:line="240" w:lineRule="auto"/>
      <w:ind w:left="0" w:leftChars="0" w:right="0" w:firstLine="360" w:firstLineChars="0"/>
      <w:jc w:val="right"/>
      <w:textAlignment w:val="auto"/>
      <w:outlineLvl w:val="9"/>
      <w:rPr>
        <w:rFonts w:hint="eastAsia"/>
        <w:lang w:eastAsia="zh-CN"/>
      </w:rPr>
    </w:pPr>
    <w:r>
      <w:rPr>
        <w:rFonts w:hint="eastAsia"/>
        <w:lang w:eastAsia="zh-CN"/>
      </w:rPr>
      <w:tab/>
    </w:r>
    <w:r>
      <w:rPr>
        <w:rFonts w:hint="eastAsia" w:ascii="宋体" w:hAnsi="宋体" w:eastAsia="宋体" w:cs="宋体"/>
        <w:sz w:val="28"/>
        <w:szCs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 xml:space="preserve"> —</w:t>
    </w:r>
    <w:r>
      <w:rPr>
        <w:rFonts w:hint="eastAsia" w:ascii="宋体" w:hAnsi="宋体" w:eastAsia="宋体" w:cs="宋体"/>
        <w:sz w:val="32"/>
        <w:szCs w:val="32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framePr w:wrap="around" w:vAnchor="text" w:hAnchor="margin" w:xAlign="in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50" w:space="0"/>
      </w:pBdr>
      <w:snapToGrid w:val="0"/>
      <w:spacing w:after="0" w:afterLines="0"/>
      <w:jc w:val="left"/>
      <w:rPr>
        <w:sz w:val="28"/>
      </w:rPr>
    </w:pPr>
  </w:p>
  <w:p>
    <w:pPr>
      <w:pStyle w:val="5"/>
      <w:widowControl w:val="0"/>
      <w:wordWrap/>
      <w:adjustRightInd/>
      <w:snapToGrid w:val="0"/>
      <w:spacing w:before="0" w:beforeLines="0" w:after="0" w:afterLines="0" w:line="240" w:lineRule="auto"/>
      <w:ind w:right="360"/>
      <w:jc w:val="both"/>
      <w:textAlignment w:val="auto"/>
      <w:outlineLvl w:val="9"/>
      <w:rPr>
        <w:rFonts w:hint="eastAsia" w:eastAsia="仿宋_GB2312"/>
        <w:sz w:val="28"/>
        <w:lang w:eastAsia="zh-CN"/>
      </w:rPr>
    </w:pPr>
    <w:r>
      <w:rPr>
        <w:rFonts w:hint="eastAsia" w:ascii="宋体" w:hAnsi="宋体" w:eastAsia="宋体" w:cs="宋体"/>
        <w:sz w:val="32"/>
        <w:szCs w:val="32"/>
        <w:lang w:val="en-US" w:eastAsia="zh-CN"/>
      </w:rPr>
      <w:t xml:space="preserve">  </w:t>
    </w:r>
    <w:r>
      <w:rPr>
        <w:rFonts w:hint="eastAsia" w:ascii="宋体" w:hAnsi="宋体" w:eastAsia="宋体" w:cs="宋体"/>
        <w:sz w:val="28"/>
        <w:szCs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2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63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9E07366"/>
    <w:rsid w:val="1029250B"/>
    <w:rsid w:val="161F196E"/>
    <w:rsid w:val="3C451B1D"/>
    <w:rsid w:val="4517188C"/>
    <w:rsid w:val="59E0736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0" w:beforeLines="0" w:beforeAutospacing="0" w:after="0" w:afterLines="0" w:afterAutospacing="0" w:line="590" w:lineRule="exact"/>
      <w:jc w:val="center"/>
      <w:outlineLvl w:val="0"/>
    </w:pPr>
    <w:rPr>
      <w:rFonts w:ascii="Times New Roman" w:hAnsi="Times New Roman" w:eastAsia="方正小标宋简体"/>
      <w:kern w:val="44"/>
      <w:sz w:val="44"/>
      <w:szCs w:val="32"/>
      <w:lang w:bidi="ar-SA"/>
    </w:rPr>
  </w:style>
  <w:style w:type="paragraph" w:styleId="3">
    <w:name w:val="heading 2"/>
    <w:basedOn w:val="1"/>
    <w:next w:val="1"/>
    <w:uiPriority w:val="0"/>
    <w:pPr>
      <w:keepNext/>
      <w:keepLines/>
      <w:spacing w:before="0" w:beforeLines="0" w:beforeAutospacing="0" w:after="0" w:afterLines="0" w:afterAutospacing="0" w:line="240" w:lineRule="auto"/>
      <w:jc w:val="left"/>
      <w:outlineLvl w:val="1"/>
    </w:pPr>
    <w:rPr>
      <w:rFonts w:ascii="Arial" w:hAnsi="Arial" w:eastAsia="宋体"/>
      <w:b/>
      <w:sz w:val="28"/>
    </w:rPr>
  </w:style>
  <w:style w:type="paragraph" w:styleId="4">
    <w:name w:val="heading 3"/>
    <w:basedOn w:val="1"/>
    <w:next w:val="1"/>
    <w:uiPriority w:val="0"/>
    <w:pPr>
      <w:keepNext/>
      <w:keepLines/>
      <w:spacing w:before="0" w:beforeLines="0" w:beforeAutospacing="0" w:after="0" w:afterLines="0" w:afterAutospacing="0" w:line="360" w:lineRule="auto"/>
      <w:jc w:val="left"/>
      <w:outlineLvl w:val="2"/>
    </w:pPr>
    <w:rPr>
      <w:rFonts w:ascii="Times New Roman" w:hAnsi="Times New Roman" w:eastAsia="宋体"/>
      <w:b/>
      <w:sz w:val="24"/>
    </w:rPr>
  </w:style>
  <w:style w:type="character" w:default="1" w:styleId="7">
    <w:name w:val="Default Paragraph Font"/>
    <w:uiPriority w:val="0"/>
  </w:style>
  <w:style w:type="table" w:default="1" w:styleId="9">
    <w:name w:val="Normal Table"/>
    <w:semiHidden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8">
    <w:name w:val="page number"/>
    <w:basedOn w:val="7"/>
    <w:uiPriority w:val="0"/>
    <w:rPr/>
  </w:style>
  <w:style w:type="paragraph" w:customStyle="1" w:styleId="10">
    <w:name w:val="样式2"/>
    <w:basedOn w:val="2"/>
    <w:uiPriority w:val="0"/>
    <w:pPr>
      <w:adjustRightInd w:val="0"/>
      <w:spacing w:before="0" w:beforeLines="0" w:after="0" w:afterLines="0" w:line="590" w:lineRule="exact"/>
    </w:pPr>
    <w:rPr>
      <w:rFonts w:ascii="Times New Roman" w:hAnsi="Times New Roman" w:eastAsia="方正小标宋简体"/>
    </w:rPr>
  </w:style>
  <w:style w:type="paragraph" w:customStyle="1" w:styleId="11">
    <w:name w:val="p0"/>
    <w:basedOn w:val="1"/>
    <w:uiPriority w:val="0"/>
    <w:pPr>
      <w:widowControl/>
    </w:pPr>
    <w:rPr>
      <w:rFonts w:hint="eastAsia" w:ascii="宋体" w:hAnsi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2017-08-10T02:50:00Z</dcterms:created>
  <dc:creator>卢颖东</dc:creator>
  <cp:lastModifiedBy>卢颖东</cp:lastModifiedBy>
  <dcterms:modified xsi:type="dcterms:W3CDTF">2017-08-10T02:51:11Z</dcterms:modified>
  <dc:title>_x000F_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