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钦州市坭兴陶土资源保护条例</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636" w:leftChars="303" w:right="976" w:rightChars="465" w:firstLine="2"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（2016年12月27日钦州市第五届人民代表大会常务委员会第三次会议通过  2017年3月29日广西壮族自治区第十二届人民代表大会常务委员会第二十八次会议批准）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保护规划与范围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开采</w:t>
      </w:r>
      <w:bookmarkStart w:id="0" w:name="_GoBack"/>
      <w:bookmarkEnd w:id="0"/>
      <w:r>
        <w:rPr>
          <w:rFonts w:hint="eastAsia" w:ascii="楷体_GB2312" w:hAnsi="楷体_GB2312" w:eastAsia="楷体_GB2312" w:cs="楷体_GB2312"/>
          <w:sz w:val="32"/>
          <w:szCs w:val="32"/>
        </w:rPr>
        <w:t>、利用与监督管理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为了加强坭兴陶土资源保护，规范坭兴陶土资源的开采利用，根据《中华人民共和国矿产资源法》《广西壮族自治区矿产资源管理条例》等法律、法规的规定，结合本市实际，制定本条例。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在本市行政区域内从事坭兴陶土资源的开采、利用和监督管理以及其他保护活动的，应当遵守本条例。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坭兴陶土，是指在本市行政区域内，由地质作用形成的，可以用于生产坭兴陶等陶制品的，呈显微鳞片泥质结构、具有特定化学组成的白泥和紫红泥，其中白泥是土状构造的风化残积粘土，紫红泥是块状构造的风化紫红色泥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坭兴陶土的具体化学组成执行广西壮族自治区地方标准。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坭兴陶土资源保护工作坚持政府领导、统一规划、有效保护、科学开采、集约利用、公众参与的原则。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市、县（区）人民政府应当采取有效措施加强对坭兴陶土资源保护工作的组织领导和监督检查，镇人民政府、街道办事处配合做好相关工作。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市、县（区）人民政府应当将坭兴陶土资源保护工作纳入本级国民经济和社会发展规划，并将坭兴陶土资源保护工作经费纳入本级预算。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市、县（区）人民政府国土资源主管部门负责本行政区域内坭兴陶土资源勘查、开采和利用的监督管理工作。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市、县（区）人民政府其他有关行政主管部门应当按照各自职责，协同同级人民政府国土资源主管部门做好相关工作。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鼓励投资者依法开采和利用坭兴陶土资源。</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鼓励公民、法人和其他组织通过捐赠、资助等方式参与坭兴陶土资源的保护工作。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市、县（区）人民政府应当加强对坭兴陶土资源保护的宣传教育，增强社会公众对坭兴陶土资源的保护意识。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广播电视、报刊、网络等媒体应当对坭兴陶土资源保护工作进行报道，依法开展舆论监督。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任何公民、法人和其他组织有权制止、举报和投诉违法违规开采、污染等破坏坭兴陶土资源的行为。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制止、举报违法违规开采、污染等破坏坭兴陶土资源行为的，由市人民政府给予通报表扬或者奖励。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市、县（区）人民政府国土资源主管部门应当设立举报、投诉电话、电子邮箱等，接到举报、投诉后应当及时依法处理。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保护规划与范围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市人民政府国土资源主管部门应当编制坭兴陶土资源保护专项规划，报市人民政府批准后公布实施。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市人民政府国土资源主管部门在坭兴陶土资源保护专项规划报送市人民政府批准前，应当通过召开论证会或者听证会等方式，公开征求有关部门、专家和社会公众的意见。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经批准实施的坭兴陶土资源保护专项规划不得擅自修改；确需修改的，应当依照前款规定的编制和批准程序办理。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坭兴陶土资源保护专项规划应当与土地利用总体规划、城乡规划、国民经济与社会发展规划、矿产资源总体规划、环境保护规划、旅游发展规划等相衔接。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市人民政府应当根据坭兴陶土资源的储量、分布情况等划定坭兴陶土资源保护区范围，设置保护标志，并向社会公布。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开采、利用与监督管理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开采坭兴陶土资源应当坚持保护和集约利用的原则，采取总量控制、限量开采、提高利用率等措施，实现资源效益和环境效益的统一。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市人民政府国土资源主管部门应当根据本市矿产资源总体规划和坭兴陶土资源保护专项规划，结合坭兴陶产业发展需求，会同有关部门制定坭兴陶土资源开采计划，经市人民政府批准后实施。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坭兴陶土资源开采计划应当明确开采顺序、开采方法和保护措施。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　</w:t>
      </w:r>
      <w:r>
        <w:rPr>
          <w:rFonts w:hint="eastAsia" w:ascii="仿宋_GB2312" w:hAnsi="仿宋_GB2312" w:eastAsia="仿宋_GB2312" w:cs="仿宋_GB2312"/>
          <w:sz w:val="32"/>
          <w:szCs w:val="32"/>
        </w:rPr>
        <w:t>坭兴陶土资源开采实行许可证制度。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坭兴陶土采矿权主要通过招标、拍卖、挂牌出让或者转让等方式取得。开采坭兴陶土资源，应当向市、县（区）人民政府国土资源主管部门申请办理审批登记，领取采矿许可证后方可进行开采。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开采下列坭兴陶土资源，由市人民政府国土资源主管部门审批登记，颁发采矿许可证：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（一）储量规模为中型的；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（二）矿区范围跨县级行政区域的；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（三）自治区人民政府国土资源主管部门授权审批发证的；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（四）市级财政出资勘查探明产地的。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开采前款规定以外的储量规模为小型的坭兴陶土资源，以及市人民政府国土资源主管部门授权审批发证的坭兴陶土资源，应当向所在地的县（区）人民政府国土资源主管部门申请办理采矿许可证。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依法转让坭兴陶土采矿权的，应当依照《中华人民共和国矿产资源法》《探矿权采矿权转让管理办法》《广西壮族自治区矿产资源管理条例》等法律、法规的规定办理相关手续。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对属于市、县（区）人民政府国土资源主管部门审批登记权限的采矿许可证办理申请，市、县（区）人民政府国土资源主管部门应当自收到申请之日起四十日内，作出准予登记或者不予登记的决定，并书面通知采矿权申请人。需要采矿权申请人修改或者补充材料的，市、县（区）人民政府国土资源主管部门应当通知采矿权申请人限期修改或者补充；申请时间从修改或者补充材料齐全之日起计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准予登记的，采矿权申请人应当自收到通知之日起三十日内，依法缴纳采矿权使用费和采矿权价款，办理登记手续，领取采矿许可证，成为采矿权人。逾期不办理的，视为放弃申请。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不予登记的，市、县（区）人民政府国土资源主管部门应当向采矿权申请人说明理由。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市、县（区）人民政府国土资源主管部门在核发坭兴陶土资源采矿许可证时，应当明确开采地点、范围、期限及年度开采量。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坭兴陶土采矿权人应当严格按照市、县（区）人民政府国土资源主管部门批准的开发利用方案进行开采，不得越界、超年度开采量或者采取破坏性的开采方法开采。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开采的坭兴陶土一般用于制作日用陶产品和工艺美术陶产品，不得用于制作低附加值的砖、瓦等普通建筑材料或者用于填土等。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　</w:t>
      </w:r>
      <w:r>
        <w:rPr>
          <w:rFonts w:hint="eastAsia" w:ascii="仿宋_GB2312" w:hAnsi="仿宋_GB2312" w:eastAsia="仿宋_GB2312" w:cs="仿宋_GB2312"/>
          <w:sz w:val="32"/>
          <w:szCs w:val="32"/>
        </w:rPr>
        <w:t>在坭兴陶土资源保护区内禁止下列行为：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（一）擅自开采坭兴陶土；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（二）故意损毁坭兴陶土资源保护区标志；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（三）擅自建设建（构）筑物；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（四）随意堆放固体废弃物或者排放污水等污染坭兴陶土资源的行为；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（五）其他破坏坭兴陶土资源的行为。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　</w:t>
      </w:r>
      <w:r>
        <w:rPr>
          <w:rFonts w:hint="eastAsia" w:ascii="仿宋_GB2312" w:hAnsi="仿宋_GB2312" w:eastAsia="仿宋_GB2312" w:cs="仿宋_GB2312"/>
          <w:sz w:val="32"/>
          <w:szCs w:val="32"/>
        </w:rPr>
        <w:t xml:space="preserve">禁止无证开采的坭兴陶土进入流通领域。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收购矿山企业和个体采矿者出售的坭兴陶土的，收购人应当要求出售者提供采矿许可证；无采矿许可证的，收购人不得收购。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在坭兴陶土资源保护区内建设铁路、公路、工厂、水库、管道、输电线路和各种大型建筑物或者建筑群等建设项目的，建设单位应当在项目选址之前向市、县（区）人民政府国土资源主管部门了解拟建工程所在地区的坭兴陶土资源分布和开采情况，避免压覆坭兴陶土资源。未经依法批准，不得压覆坭兴陶土资源矿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建设单位在施工中采挖出坭兴陶土的，应当向项目所在地的市、县（区）人民政府国土资源主管部门报告。经国土资源主管部门核实，建设单位可以出售采挖出的坭兴陶土，或者按照市、县（区）人民政府国土资源主管部门的要求处理，不得用于填土或者随意丢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开采和利用坭兴陶土资源，应当遵守有关环境保护的法律、法规规定，禁止随意堆放废土、废渣、废石或者随意排放废水等。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采矿权人停办、关闭坭兴陶土开采点，应当依法做好开采点安全、水土保持、土地复垦、植被恢复等环境保护工作。造成生态环境破坏的，依法承担相应责任。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市人民政府质量技术监督主管部门应当制定坭兴陶原料地方标准，引导坭兴陶土资源开采者、销售者建立健全内部质量管理制度。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对不使用合法来源的坭兴陶土生产的坭兴陶产品，不予核发地理标志产品专用标志。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违反本条例第十八条第二款的规定，由市、县（区）人民政府国土资源主管部门按照管理权限，分别按照下列规定予以处罚：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（一）超出年度开采量开采坭兴陶土的，责令改正，没收超量开采的坭兴陶土和违法所得；拒不改正的，可以并处违法所得百分之三十以下的罚款。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越界开采坭兴陶土的，责令退回批准的范围内开采、赔偿损失，没收越界采出的坭兴陶土和违法所得，可以并处违法所得百分之三十以下的罚款；拒不退回批准的范围内开采，造成坭兴陶土资源破坏的，吊销采矿许可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破坏性的开采方法开采坭兴陶土，造成坭兴陶土资源破坏的，除责令停止违法行为、赔偿损失外，损失价值不满五万元的，并处损失价值百分之二十以上百分之三十以下的罚款；损失价值在五万元以上不满十万元的，并处损失价值百分之三十以上百分之四十以下的罚款；损失价值在十万元以上的，并处损失价值百分之四十以上百分之五十以下的罚款；情节严重的，吊销采矿许可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违反本条例第二十条第一项的规定，未取得采矿许可证，擅自开采坭兴陶土的，由市、县（区）人民政府国土资源主管部门按照管理权限责令停止开采、赔偿损失，没收采出的坭兴陶土和违法所得，可以并处二千元以上十万元以下的罚款；对违法开采矿产资源的采矿设备，责令限期拆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违反本条例第二十条第四项的规定，随意堆放固体废弃物或者排放污水等，造成坭兴陶土资源污染的，由市、县（区）人民政府环境保护主管部门按照管理权限处二千元以上二万元以下的罚款。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违反本条例第二十一条的规定，收购无采矿许可证开采的坭兴陶土的，由市、县（区）人民政府工商行政管理部门按照管理权限没收收购的坭兴陶土和违法所得，可以并处违法所得一倍以下的罚款。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违反本条例第二十三条的规定，将采挖出的坭兴陶土用于填土或者随意丢弃的，由市、县（区）人民政府国土资源主管部门按照管理权限处损失价值一倍至三倍的罚款。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市、县（区）人民政府有关行政主管部门及其工作人员不履行监督管理职责，发现违法违规行为不予查处的，以及有其他玩忽职守、滥用职权、徇私舞弊行为的，由有关部门按照管理权限，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本条例自2017年10月1日起施行。</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2098" w:left="1474" w:header="851" w:footer="1644"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硬笔楷书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B0E70"/>
    <w:rsid w:val="096B0E70"/>
    <w:rsid w:val="10693166"/>
    <w:rsid w:val="24340F7C"/>
    <w:rsid w:val="61F1130F"/>
    <w:rsid w:val="69B971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2017-04-28T02:45:00Z</dcterms:created>
  <dc:creator>yhgx7</dc:creator>
  <cp:lastModifiedBy>yhgx7</cp:lastModifiedBy>
  <dcterms:modified xsi:type="dcterms:W3CDTF">2017-08-08T09:10:46Z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