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Arial"/>
          <w:kern w:val="0"/>
          <w:szCs w:val="32"/>
        </w:rPr>
      </w:pPr>
      <w:bookmarkStart w:id="1" w:name="_GoBack"/>
      <w:bookmarkEnd w:id="1"/>
    </w:p>
    <w:p>
      <w:pPr>
        <w:rPr>
          <w:rFonts w:hint="eastAsia" w:ascii="宋体" w:hAnsi="宋体" w:cs="Arial"/>
          <w:kern w:val="0"/>
          <w:szCs w:val="32"/>
        </w:rPr>
      </w:pPr>
    </w:p>
    <w:p>
      <w:pPr>
        <w:jc w:val="center"/>
        <w:rPr>
          <w:rFonts w:hint="eastAsia" w:ascii="宋体" w:hAnsi="宋体" w:eastAsia="宋体" w:cs="Arial"/>
          <w:bCs/>
          <w:sz w:val="44"/>
          <w:szCs w:val="44"/>
          <w:lang w:eastAsia="zh-CN"/>
        </w:rPr>
      </w:pPr>
      <w:r>
        <w:rPr>
          <w:rFonts w:hint="eastAsia" w:ascii="宋体" w:hAnsi="宋体" w:eastAsia="宋体" w:cs="Arial"/>
          <w:bCs/>
          <w:sz w:val="44"/>
          <w:szCs w:val="44"/>
          <w:lang w:eastAsia="zh-CN"/>
        </w:rPr>
        <w:t>海南省人民代表大会常务委员会</w:t>
      </w:r>
    </w:p>
    <w:p>
      <w:pPr>
        <w:jc w:val="center"/>
        <w:rPr>
          <w:rFonts w:hint="eastAsia" w:ascii="宋体" w:hAnsi="宋体" w:eastAsia="宋体" w:cs="Arial"/>
          <w:bCs/>
          <w:sz w:val="44"/>
          <w:szCs w:val="44"/>
          <w:lang w:eastAsia="zh-CN"/>
        </w:rPr>
      </w:pPr>
      <w:r>
        <w:rPr>
          <w:rFonts w:hint="eastAsia" w:ascii="宋体" w:hAnsi="宋体" w:eastAsia="宋体" w:cs="Arial"/>
          <w:bCs/>
          <w:sz w:val="44"/>
          <w:szCs w:val="44"/>
          <w:lang w:eastAsia="zh-CN"/>
        </w:rPr>
        <w:t>关于在海南经济特区下放部分</w:t>
      </w:r>
    </w:p>
    <w:p>
      <w:pPr>
        <w:jc w:val="center"/>
        <w:rPr>
          <w:rFonts w:hint="eastAsia" w:ascii="宋体" w:hAnsi="宋体" w:eastAsia="宋体" w:cs="Arial"/>
          <w:bCs/>
          <w:sz w:val="44"/>
          <w:szCs w:val="44"/>
        </w:rPr>
      </w:pPr>
      <w:r>
        <w:rPr>
          <w:rFonts w:hint="eastAsia" w:ascii="宋体" w:hAnsi="宋体" w:eastAsia="宋体" w:cs="Arial"/>
          <w:bCs/>
          <w:sz w:val="44"/>
          <w:szCs w:val="44"/>
          <w:lang w:eastAsia="zh-CN"/>
        </w:rPr>
        <w:t>行政许可事项的决定</w:t>
      </w:r>
    </w:p>
    <w:p>
      <w:pPr>
        <w:ind w:firstLine="640" w:firstLineChars="200"/>
        <w:rPr>
          <w:rFonts w:hint="eastAsia" w:ascii="宋体" w:hAnsi="宋体" w:cs="Arial"/>
          <w:szCs w:val="32"/>
        </w:rPr>
      </w:pPr>
    </w:p>
    <w:p>
      <w:pPr>
        <w:ind w:left="800" w:leftChars="200" w:right="537" w:rightChars="168" w:hanging="160" w:hangingChars="50"/>
        <w:rPr>
          <w:rFonts w:hint="eastAsia" w:ascii="仿宋_GB2312" w:hAnsi="Arial" w:cs="Arial"/>
          <w:szCs w:val="32"/>
        </w:rPr>
      </w:pPr>
      <w:r>
        <w:rPr>
          <w:rFonts w:hint="eastAsia" w:ascii="楷体_GB2312" w:hAnsi="Arial" w:eastAsia="楷体_GB2312" w:cs="Arial"/>
          <w:szCs w:val="32"/>
        </w:rPr>
        <w:t>（</w:t>
      </w:r>
      <w:r>
        <w:rPr>
          <w:rFonts w:hint="eastAsia" w:ascii="楷体_GB2312" w:eastAsia="楷体_GB2312"/>
          <w:szCs w:val="32"/>
        </w:rPr>
        <w:t>201</w:t>
      </w:r>
      <w:r>
        <w:rPr>
          <w:rFonts w:hint="eastAsia" w:ascii="楷体_GB2312" w:eastAsia="楷体_GB2312"/>
          <w:szCs w:val="32"/>
          <w:lang w:val="en-US" w:eastAsia="zh-CN"/>
        </w:rPr>
        <w:t>7</w:t>
      </w:r>
      <w:r>
        <w:rPr>
          <w:rFonts w:hint="eastAsia" w:ascii="楷体_GB2312" w:eastAsia="楷体_GB2312"/>
          <w:szCs w:val="32"/>
        </w:rPr>
        <w:t>年</w:t>
      </w:r>
      <w:r>
        <w:rPr>
          <w:rFonts w:hint="eastAsia" w:ascii="楷体_GB2312" w:eastAsia="楷体_GB2312"/>
          <w:szCs w:val="32"/>
          <w:lang w:val="en-US" w:eastAsia="zh-CN"/>
        </w:rPr>
        <w:t>3</w:t>
      </w:r>
      <w:r>
        <w:rPr>
          <w:rFonts w:hint="eastAsia" w:ascii="楷体_GB2312" w:eastAsia="楷体_GB2312"/>
          <w:szCs w:val="32"/>
        </w:rPr>
        <w:t>月2</w:t>
      </w:r>
      <w:r>
        <w:rPr>
          <w:rFonts w:hint="eastAsia" w:ascii="楷体_GB2312" w:eastAsia="楷体_GB2312"/>
          <w:szCs w:val="32"/>
          <w:lang w:val="en-US" w:eastAsia="zh-CN"/>
        </w:rPr>
        <w:t>9</w:t>
      </w:r>
      <w:r>
        <w:rPr>
          <w:rFonts w:hint="eastAsia" w:ascii="楷体_GB2312" w:hAnsi="Arial" w:eastAsia="楷体_GB2312" w:cs="Arial"/>
          <w:szCs w:val="32"/>
        </w:rPr>
        <w:t>日</w:t>
      </w:r>
      <w:r>
        <w:rPr>
          <w:rFonts w:hint="eastAsia" w:ascii="楷体_GB2312" w:hAnsi="Arial" w:eastAsia="楷体_GB2312" w:cs="Arial"/>
          <w:szCs w:val="32"/>
          <w:lang w:eastAsia="zh-CN"/>
        </w:rPr>
        <w:t>海南</w:t>
      </w:r>
      <w:r>
        <w:rPr>
          <w:rFonts w:hint="eastAsia" w:ascii="楷体_GB2312" w:hAnsi="Arial" w:eastAsia="楷体_GB2312" w:cs="Arial"/>
          <w:szCs w:val="32"/>
        </w:rPr>
        <w:t>省第</w:t>
      </w:r>
      <w:r>
        <w:rPr>
          <w:rFonts w:hint="eastAsia" w:ascii="楷体_GB2312" w:hAnsi="Arial" w:eastAsia="楷体_GB2312" w:cs="Arial"/>
          <w:szCs w:val="32"/>
          <w:lang w:eastAsia="zh-CN"/>
        </w:rPr>
        <w:t>五</w:t>
      </w:r>
      <w:r>
        <w:rPr>
          <w:rFonts w:hint="eastAsia" w:ascii="楷体_GB2312" w:hAnsi="Arial" w:eastAsia="楷体_GB2312" w:cs="Arial"/>
          <w:szCs w:val="32"/>
        </w:rPr>
        <w:t>届人民代表大会常务委员会第</w:t>
      </w:r>
      <w:r>
        <w:rPr>
          <w:rFonts w:hint="eastAsia" w:ascii="楷体_GB2312" w:hAnsi="Arial" w:eastAsia="楷体_GB2312" w:cs="Arial"/>
          <w:szCs w:val="32"/>
          <w:lang w:eastAsia="zh-CN"/>
        </w:rPr>
        <w:t>二</w:t>
      </w:r>
      <w:r>
        <w:rPr>
          <w:rFonts w:hint="eastAsia" w:ascii="楷体_GB2312" w:hAnsi="Arial" w:eastAsia="楷体_GB2312" w:cs="Arial"/>
          <w:szCs w:val="32"/>
        </w:rPr>
        <w:t>十</w:t>
      </w:r>
      <w:r>
        <w:rPr>
          <w:rFonts w:hint="eastAsia" w:ascii="楷体_GB2312" w:hAnsi="Arial" w:eastAsia="楷体_GB2312" w:cs="Arial"/>
          <w:szCs w:val="32"/>
          <w:lang w:eastAsia="zh-CN"/>
        </w:rPr>
        <w:t>七</w:t>
      </w:r>
      <w:r>
        <w:rPr>
          <w:rFonts w:hint="eastAsia" w:ascii="楷体_GB2312" w:hAnsi="Arial" w:eastAsia="楷体_GB2312" w:cs="Arial"/>
          <w:szCs w:val="32"/>
        </w:rPr>
        <w:t>次会议通过）</w:t>
      </w:r>
    </w:p>
    <w:p>
      <w:pPr>
        <w:rPr>
          <w:rFonts w:hint="eastAsia" w:ascii="宋体" w:hAnsi="宋体" w:cs="Arial"/>
          <w:szCs w:val="32"/>
        </w:rPr>
      </w:pPr>
    </w:p>
    <w:p>
      <w:pPr>
        <w:widowControl/>
        <w:spacing w:line="300" w:lineRule="atLeast"/>
        <w:ind w:firstLine="630"/>
        <w:rPr>
          <w:rFonts w:hint="eastAsia" w:ascii="仿宋_GB2312" w:hAnsi="Arial" w:cs="Arial"/>
          <w:kern w:val="0"/>
          <w:szCs w:val="32"/>
        </w:rPr>
      </w:pPr>
      <w:bookmarkStart w:id="0" w:name="#go1"/>
      <w:r>
        <w:rPr>
          <w:rFonts w:hint="eastAsia" w:ascii="仿宋_GB2312" w:hAnsi="Arial" w:cs="Arial"/>
          <w:kern w:val="0"/>
          <w:szCs w:val="32"/>
        </w:rPr>
        <w:t>为推进简政放权，促进政府职能转变，根据国家有关法律、行政法规的规定，海南省第五届人民代表大会常务委员会第二十七次会议决定：在海南经济特区将6大项2子项省级行政许可事项下放市、县、自治县人民政府有关部门实施（目录附后）。对下放的行政许可事项，省直有关单位要及时办理手续，加强业务培训指导，做好对接工作；承接下放行政许可事项的市、县、自治县人民政府及其有关部门，要周密组织，做好各方面的承接和安排，做到规范有序、无缝衔接。</w:t>
      </w:r>
      <w:bookmarkEnd w:id="0"/>
    </w:p>
    <w:p>
      <w:pPr>
        <w:widowControl/>
        <w:spacing w:line="300" w:lineRule="atLeast"/>
        <w:ind w:firstLine="630"/>
        <w:rPr>
          <w:rFonts w:hint="eastAsia" w:ascii="仿宋_GB2312" w:hAnsi="Arial" w:cs="Arial"/>
          <w:kern w:val="0"/>
          <w:szCs w:val="32"/>
        </w:rPr>
      </w:pPr>
      <w:r>
        <w:rPr>
          <w:rFonts w:hint="eastAsia" w:ascii="仿宋_GB2312" w:hAnsi="Arial" w:cs="Arial"/>
          <w:kern w:val="0"/>
          <w:szCs w:val="32"/>
        </w:rPr>
        <w:t>本决定自公布之日起施行。</w:t>
      </w:r>
    </w:p>
    <w:p>
      <w:pPr>
        <w:widowControl/>
        <w:spacing w:line="300" w:lineRule="atLeast"/>
        <w:ind w:firstLine="630"/>
        <w:rPr>
          <w:rFonts w:hint="eastAsia" w:ascii="仿宋_GB2312" w:hAnsi="Arial" w:cs="Arial"/>
          <w:kern w:val="0"/>
          <w:szCs w:val="32"/>
        </w:rPr>
        <w:sectPr>
          <w:footerReference r:id="rId3" w:type="default"/>
          <w:footerReference r:id="rId4" w:type="even"/>
          <w:pgSz w:w="11906" w:h="16838"/>
          <w:pgMar w:top="1440" w:right="1466" w:bottom="1440" w:left="1800" w:header="851" w:footer="992" w:gutter="0"/>
          <w:cols w:space="720" w:num="1"/>
          <w:docGrid w:type="lines" w:linePitch="312" w:charSpace="0"/>
        </w:sectPr>
      </w:pPr>
    </w:p>
    <w:tbl>
      <w:tblPr>
        <w:tblStyle w:val="10"/>
        <w:tblW w:w="14954" w:type="dxa"/>
        <w:tblInd w:w="94" w:type="dxa"/>
        <w:tblLayout w:type="fixed"/>
        <w:tblCellMar>
          <w:top w:w="0" w:type="dxa"/>
          <w:left w:w="108" w:type="dxa"/>
          <w:bottom w:w="0" w:type="dxa"/>
          <w:right w:w="108" w:type="dxa"/>
        </w:tblCellMar>
      </w:tblPr>
      <w:tblGrid>
        <w:gridCol w:w="536"/>
        <w:gridCol w:w="1578"/>
        <w:gridCol w:w="7114"/>
        <w:gridCol w:w="1843"/>
        <w:gridCol w:w="2551"/>
        <w:gridCol w:w="1332"/>
      </w:tblGrid>
      <w:tr>
        <w:tblPrEx>
          <w:tblLayout w:type="fixed"/>
          <w:tblCellMar>
            <w:top w:w="0" w:type="dxa"/>
            <w:left w:w="108" w:type="dxa"/>
            <w:bottom w:w="0" w:type="dxa"/>
            <w:right w:w="108" w:type="dxa"/>
          </w:tblCellMar>
        </w:tblPrEx>
        <w:trPr>
          <w:trHeight w:val="450" w:hRule="atLeast"/>
        </w:trPr>
        <w:tc>
          <w:tcPr>
            <w:tcW w:w="14954" w:type="dxa"/>
            <w:gridSpan w:val="6"/>
            <w:tcBorders>
              <w:top w:val="nil"/>
              <w:left w:val="nil"/>
              <w:bottom w:val="single" w:color="auto" w:sz="4" w:space="0"/>
              <w:right w:val="nil"/>
            </w:tcBorders>
            <w:vAlign w:val="center"/>
          </w:tcPr>
          <w:p>
            <w:pPr>
              <w:widowControl/>
              <w:jc w:val="center"/>
              <w:rPr>
                <w:rFonts w:hint="eastAsia" w:ascii="方正小标宋_GBK" w:hAnsi="宋体" w:eastAsia="方正小标宋_GBK" w:cs="宋体"/>
                <w:kern w:val="0"/>
                <w:sz w:val="36"/>
                <w:szCs w:val="36"/>
              </w:rPr>
            </w:pPr>
            <w:r>
              <w:rPr>
                <w:rFonts w:hint="eastAsia" w:ascii="方正小标宋_GBK" w:hAnsi="宋体" w:eastAsia="方正小标宋_GBK" w:cs="宋体"/>
                <w:kern w:val="0"/>
                <w:sz w:val="36"/>
                <w:szCs w:val="36"/>
              </w:rPr>
              <w:t>下放行政许可事项目录（</w:t>
            </w:r>
            <w:r>
              <w:rPr>
                <w:rFonts w:ascii="方正小标宋_GBK" w:hAnsi="宋体" w:eastAsia="方正小标宋_GBK" w:cs="宋体"/>
                <w:kern w:val="0"/>
                <w:sz w:val="36"/>
                <w:szCs w:val="36"/>
              </w:rPr>
              <w:t>6</w:t>
            </w:r>
            <w:r>
              <w:rPr>
                <w:rFonts w:hint="eastAsia" w:ascii="方正小标宋_GBK" w:hAnsi="宋体" w:eastAsia="方正小标宋_GBK" w:cs="宋体"/>
                <w:kern w:val="0"/>
                <w:sz w:val="36"/>
                <w:szCs w:val="36"/>
              </w:rPr>
              <w:t>大项</w:t>
            </w:r>
            <w:r>
              <w:rPr>
                <w:rFonts w:ascii="方正小标宋_GBK" w:hAnsi="宋体" w:eastAsia="方正小标宋_GBK" w:cs="宋体"/>
                <w:kern w:val="0"/>
                <w:sz w:val="36"/>
                <w:szCs w:val="36"/>
              </w:rPr>
              <w:t>2</w:t>
            </w:r>
            <w:r>
              <w:rPr>
                <w:rFonts w:hint="eastAsia" w:ascii="方正小标宋_GBK" w:hAnsi="宋体" w:eastAsia="方正小标宋_GBK" w:cs="宋体"/>
                <w:kern w:val="0"/>
                <w:sz w:val="36"/>
                <w:szCs w:val="36"/>
              </w:rPr>
              <w:t>子项）</w:t>
            </w:r>
          </w:p>
        </w:tc>
      </w:tr>
      <w:tr>
        <w:tblPrEx>
          <w:tblLayout w:type="fixed"/>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黑体" w:hAnsi="宋体" w:eastAsia="黑体" w:cs="宋体"/>
                <w:kern w:val="0"/>
                <w:sz w:val="30"/>
                <w:szCs w:val="30"/>
              </w:rPr>
            </w:pPr>
            <w:r>
              <w:rPr>
                <w:rFonts w:hint="eastAsia" w:ascii="黑体" w:hAnsi="宋体" w:eastAsia="黑体" w:cs="宋体"/>
                <w:kern w:val="0"/>
                <w:sz w:val="30"/>
                <w:szCs w:val="30"/>
              </w:rPr>
              <w:t>序号</w:t>
            </w:r>
          </w:p>
        </w:tc>
        <w:tc>
          <w:tcPr>
            <w:tcW w:w="1578" w:type="dxa"/>
            <w:tcBorders>
              <w:top w:val="nil"/>
              <w:left w:val="nil"/>
              <w:bottom w:val="single" w:color="auto" w:sz="4" w:space="0"/>
              <w:right w:val="single" w:color="auto" w:sz="4" w:space="0"/>
            </w:tcBorders>
            <w:vAlign w:val="center"/>
          </w:tcPr>
          <w:p>
            <w:pPr>
              <w:widowControl/>
              <w:spacing w:line="360" w:lineRule="exact"/>
              <w:jc w:val="center"/>
              <w:rPr>
                <w:rFonts w:hint="eastAsia" w:ascii="黑体" w:hAnsi="宋体" w:eastAsia="黑体" w:cs="宋体"/>
                <w:kern w:val="0"/>
                <w:sz w:val="30"/>
                <w:szCs w:val="30"/>
              </w:rPr>
            </w:pPr>
            <w:r>
              <w:rPr>
                <w:rFonts w:hint="eastAsia" w:ascii="黑体" w:hAnsi="宋体" w:eastAsia="黑体" w:cs="宋体"/>
                <w:kern w:val="0"/>
                <w:sz w:val="30"/>
                <w:szCs w:val="30"/>
              </w:rPr>
              <w:t>项目名称</w:t>
            </w:r>
          </w:p>
        </w:tc>
        <w:tc>
          <w:tcPr>
            <w:tcW w:w="7114" w:type="dxa"/>
            <w:tcBorders>
              <w:top w:val="nil"/>
              <w:left w:val="nil"/>
              <w:bottom w:val="single" w:color="auto" w:sz="4" w:space="0"/>
              <w:right w:val="single" w:color="auto" w:sz="4" w:space="0"/>
            </w:tcBorders>
            <w:vAlign w:val="center"/>
          </w:tcPr>
          <w:p>
            <w:pPr>
              <w:widowControl/>
              <w:spacing w:line="360" w:lineRule="exact"/>
              <w:jc w:val="center"/>
              <w:rPr>
                <w:rFonts w:hint="eastAsia" w:ascii="黑体" w:hAnsi="宋体" w:eastAsia="黑体" w:cs="宋体"/>
                <w:kern w:val="0"/>
                <w:sz w:val="30"/>
                <w:szCs w:val="30"/>
              </w:rPr>
            </w:pPr>
            <w:r>
              <w:rPr>
                <w:rFonts w:hint="eastAsia" w:ascii="黑体" w:hAnsi="宋体" w:eastAsia="黑体" w:cs="宋体"/>
                <w:kern w:val="0"/>
                <w:sz w:val="30"/>
                <w:szCs w:val="30"/>
              </w:rPr>
              <w:t>设立依据</w:t>
            </w:r>
          </w:p>
        </w:tc>
        <w:tc>
          <w:tcPr>
            <w:tcW w:w="1843"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黑体" w:hAnsi="宋体" w:eastAsia="黑体" w:cs="宋体"/>
                <w:kern w:val="0"/>
                <w:sz w:val="30"/>
                <w:szCs w:val="30"/>
              </w:rPr>
            </w:pPr>
            <w:r>
              <w:rPr>
                <w:rFonts w:hint="eastAsia" w:ascii="黑体" w:hAnsi="宋体" w:eastAsia="黑体" w:cs="宋体"/>
                <w:kern w:val="0"/>
                <w:sz w:val="30"/>
                <w:szCs w:val="30"/>
              </w:rPr>
              <w:t>原实施机关</w:t>
            </w:r>
          </w:p>
        </w:tc>
        <w:tc>
          <w:tcPr>
            <w:tcW w:w="255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黑体" w:hAnsi="宋体" w:eastAsia="黑体" w:cs="宋体"/>
                <w:kern w:val="0"/>
                <w:sz w:val="30"/>
                <w:szCs w:val="30"/>
              </w:rPr>
            </w:pPr>
            <w:r>
              <w:rPr>
                <w:rFonts w:hint="eastAsia" w:ascii="黑体" w:hAnsi="宋体" w:eastAsia="黑体" w:cs="宋体"/>
                <w:kern w:val="0"/>
                <w:sz w:val="30"/>
                <w:szCs w:val="30"/>
              </w:rPr>
              <w:t>下放后实施机关</w:t>
            </w:r>
          </w:p>
        </w:tc>
        <w:tc>
          <w:tcPr>
            <w:tcW w:w="1332" w:type="dxa"/>
            <w:tcBorders>
              <w:top w:val="nil"/>
              <w:left w:val="nil"/>
              <w:bottom w:val="single" w:color="auto" w:sz="4" w:space="0"/>
              <w:right w:val="single" w:color="auto" w:sz="4" w:space="0"/>
            </w:tcBorders>
            <w:vAlign w:val="center"/>
          </w:tcPr>
          <w:p>
            <w:pPr>
              <w:widowControl/>
              <w:spacing w:line="360" w:lineRule="exact"/>
              <w:jc w:val="center"/>
              <w:rPr>
                <w:rFonts w:hint="eastAsia" w:ascii="黑体" w:hAnsi="宋体" w:eastAsia="黑体" w:cs="宋体"/>
                <w:kern w:val="0"/>
                <w:sz w:val="30"/>
                <w:szCs w:val="30"/>
              </w:rPr>
            </w:pPr>
            <w:r>
              <w:rPr>
                <w:rFonts w:hint="eastAsia" w:ascii="黑体" w:hAnsi="宋体" w:eastAsia="黑体" w:cs="宋体"/>
                <w:kern w:val="0"/>
                <w:sz w:val="30"/>
                <w:szCs w:val="30"/>
              </w:rPr>
              <w:t>备注</w:t>
            </w:r>
          </w:p>
        </w:tc>
      </w:tr>
      <w:tr>
        <w:tblPrEx>
          <w:tblLayout w:type="fixed"/>
          <w:tblCellMar>
            <w:top w:w="0" w:type="dxa"/>
            <w:left w:w="108" w:type="dxa"/>
            <w:bottom w:w="0" w:type="dxa"/>
            <w:right w:w="108" w:type="dxa"/>
          </w:tblCellMar>
        </w:tblPrEx>
        <w:trPr>
          <w:trHeight w:val="2277" w:hRule="atLeast"/>
        </w:trPr>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1</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民办普通高中以捐赠者姓名或者名称作为校名的审批</w:t>
            </w:r>
          </w:p>
        </w:tc>
        <w:tc>
          <w:tcPr>
            <w:tcW w:w="711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480" w:firstLineChars="200"/>
              <w:jc w:val="left"/>
              <w:rPr>
                <w:rFonts w:ascii="仿宋" w:hAnsi="仿宋" w:eastAsia="仿宋" w:cs="宋体"/>
                <w:kern w:val="0"/>
                <w:sz w:val="24"/>
              </w:rPr>
            </w:pPr>
            <w:r>
              <w:rPr>
                <w:rFonts w:hint="eastAsia" w:ascii="仿宋" w:hAnsi="仿宋" w:eastAsia="仿宋" w:cs="宋体"/>
                <w:kern w:val="0"/>
                <w:sz w:val="24"/>
              </w:rPr>
              <w:t>《中华人民共和国民办教育促进法实施条例》第三十九条第二款：“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劳动和社会保障行政部门按照国家规定的条件批准，可以以捐赠者的姓名或者名称作为学校校名。”</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省教育厅</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4"/>
              </w:rPr>
            </w:pPr>
            <w:r>
              <w:rPr>
                <w:rFonts w:hint="eastAsia" w:ascii="仿宋" w:hAnsi="仿宋" w:eastAsia="仿宋" w:cs="宋体"/>
                <w:kern w:val="0"/>
                <w:sz w:val="24"/>
              </w:rPr>
              <w:t>市、县、自治县教育行政部门</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rPr>
            </w:pPr>
          </w:p>
        </w:tc>
      </w:tr>
      <w:tr>
        <w:tblPrEx>
          <w:tblLayout w:type="fixed"/>
          <w:tblCellMar>
            <w:top w:w="0" w:type="dxa"/>
            <w:left w:w="108" w:type="dxa"/>
            <w:bottom w:w="0" w:type="dxa"/>
            <w:right w:w="108" w:type="dxa"/>
          </w:tblCellMar>
        </w:tblPrEx>
        <w:trPr>
          <w:trHeight w:val="4187" w:hRule="atLeast"/>
        </w:trPr>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2</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外国公民、组织和国际组织参观未开放的文物点和考古发掘现场审批</w:t>
            </w:r>
          </w:p>
        </w:tc>
        <w:tc>
          <w:tcPr>
            <w:tcW w:w="711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中华人民共和国考古涉外工作管理办法》（1990年12月31日国务院批准，1991年2月22日国家文物局令第1号发布，根据2016年2月6日发布的国务院令第666号《国务院关于修改部分行政法规的决定》修改）第十三条第一款、第二款：“外国公民、外国组织和国际组织在中国境内参观尚未公开接待参观者的文物点，在开放地区的，需由文物点所在地的管理单位或者接待参观者的中央国家机关及其直属单位，在参观一个月以前向文物点所在地的省、自治区、直辖市人民政府文物行政管理部门申报参观计划，经批准后方可进行；在未开放地区的，需由文物点所在地的管理单位或者接待参观者的中央国家机关及其直属单位，在参观一个月以前向文物点所在地的省、自治区、直辖市人民政府文物行政管理部门申报参观计划，经批准并按照有关涉外工作管理规定向有关部门办理手续后方可进行。</w:t>
            </w:r>
          </w:p>
          <w:p>
            <w:pPr>
              <w:widowControl/>
              <w:spacing w:line="28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参观正在进行工作的考古发掘现场，接待单位须征求主持发掘单位的意见，经考古发掘现场所在地的省、自治区、直辖市人民政府文物行政管理部门批准后方可进行。</w:t>
            </w:r>
            <w:r>
              <w:rPr>
                <w:rFonts w:ascii="仿宋" w:hAnsi="仿宋" w:eastAsia="仿宋" w:cs="宋体"/>
                <w:kern w:val="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省文化广电</w:t>
            </w:r>
          </w:p>
          <w:p>
            <w:pPr>
              <w:widowControl/>
              <w:jc w:val="center"/>
              <w:rPr>
                <w:rFonts w:hint="eastAsia" w:ascii="仿宋" w:hAnsi="仿宋" w:eastAsia="仿宋" w:cs="宋体"/>
                <w:kern w:val="0"/>
                <w:sz w:val="24"/>
              </w:rPr>
            </w:pPr>
            <w:r>
              <w:rPr>
                <w:rFonts w:hint="eastAsia" w:ascii="仿宋" w:hAnsi="仿宋" w:eastAsia="仿宋" w:cs="宋体"/>
                <w:kern w:val="0"/>
                <w:sz w:val="24"/>
              </w:rPr>
              <w:t>出版体育厅</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rPr>
            </w:pPr>
            <w:r>
              <w:rPr>
                <w:rFonts w:hint="eastAsia" w:ascii="仿宋" w:hAnsi="仿宋" w:eastAsia="仿宋" w:cs="宋体"/>
                <w:kern w:val="0"/>
                <w:sz w:val="24"/>
              </w:rPr>
              <w:t>市、县、自治县文物行政管理部门</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4"/>
              </w:rPr>
            </w:pPr>
          </w:p>
        </w:tc>
      </w:tr>
      <w:tr>
        <w:tblPrEx>
          <w:tblLayout w:type="fixed"/>
          <w:tblCellMar>
            <w:top w:w="0" w:type="dxa"/>
            <w:left w:w="108" w:type="dxa"/>
            <w:bottom w:w="0" w:type="dxa"/>
            <w:right w:w="108" w:type="dxa"/>
          </w:tblCellMar>
        </w:tblPrEx>
        <w:trPr>
          <w:trHeight w:val="810" w:hRule="atLeast"/>
        </w:trPr>
        <w:tc>
          <w:tcPr>
            <w:tcW w:w="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序号</w:t>
            </w:r>
          </w:p>
        </w:tc>
        <w:tc>
          <w:tcPr>
            <w:tcW w:w="157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项目名称</w:t>
            </w:r>
          </w:p>
        </w:tc>
        <w:tc>
          <w:tcPr>
            <w:tcW w:w="71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设立依据</w:t>
            </w:r>
          </w:p>
        </w:tc>
        <w:tc>
          <w:tcPr>
            <w:tcW w:w="1843"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原实施机关</w:t>
            </w:r>
          </w:p>
        </w:tc>
        <w:tc>
          <w:tcPr>
            <w:tcW w:w="255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黑体" w:hAnsi="宋体" w:eastAsia="黑体" w:cs="宋体"/>
                <w:kern w:val="0"/>
                <w:sz w:val="30"/>
                <w:szCs w:val="30"/>
              </w:rPr>
            </w:pPr>
            <w:r>
              <w:rPr>
                <w:rFonts w:hint="eastAsia" w:ascii="黑体" w:hAnsi="宋体" w:eastAsia="黑体" w:cs="宋体"/>
                <w:kern w:val="0"/>
                <w:sz w:val="30"/>
                <w:szCs w:val="30"/>
              </w:rPr>
              <w:t>下放后实施机关</w:t>
            </w:r>
          </w:p>
        </w:tc>
        <w:tc>
          <w:tcPr>
            <w:tcW w:w="133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备注</w:t>
            </w:r>
          </w:p>
        </w:tc>
      </w:tr>
      <w:tr>
        <w:tblPrEx>
          <w:tblLayout w:type="fixed"/>
          <w:tblCellMar>
            <w:top w:w="0" w:type="dxa"/>
            <w:left w:w="108" w:type="dxa"/>
            <w:bottom w:w="0" w:type="dxa"/>
            <w:right w:w="108" w:type="dxa"/>
          </w:tblCellMar>
        </w:tblPrEx>
        <w:trPr>
          <w:trHeight w:val="90" w:hRule="atLeast"/>
        </w:trPr>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3</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消毒产品生产企业卫生许可（首次发放、复核、延续、变更）</w:t>
            </w:r>
          </w:p>
        </w:tc>
        <w:tc>
          <w:tcPr>
            <w:tcW w:w="71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80" w:firstLineChars="200"/>
              <w:jc w:val="left"/>
              <w:textAlignment w:val="auto"/>
              <w:outlineLvl w:val="9"/>
              <w:rPr>
                <w:rFonts w:hint="eastAsia" w:ascii="仿宋" w:hAnsi="仿宋" w:eastAsia="仿宋" w:cs="宋体"/>
                <w:kern w:val="0"/>
                <w:sz w:val="24"/>
              </w:rPr>
            </w:pPr>
            <w:r>
              <w:rPr>
                <w:rFonts w:hint="eastAsia" w:ascii="仿宋" w:hAnsi="仿宋" w:eastAsia="仿宋" w:cs="宋体"/>
                <w:kern w:val="0"/>
                <w:sz w:val="24"/>
              </w:rPr>
              <w:t>《中华人民共和国传染病防治法》第二十九条第三款：“生产用于传染病防治的消毒产品的单位和生产用于传染病防治的消毒产品，应当经省级以上人民政府卫生行政部门审批。具体办法由国务院制定。”</w:t>
            </w:r>
            <w:r>
              <w:rPr>
                <w:rFonts w:hint="eastAsia" w:ascii="仿宋" w:hAnsi="仿宋" w:eastAsia="仿宋" w:cs="宋体"/>
                <w:kern w:val="0"/>
                <w:sz w:val="24"/>
              </w:rPr>
              <w:br w:type="textWrapping"/>
            </w:r>
            <w:r>
              <w:rPr>
                <w:rFonts w:hint="eastAsia" w:ascii="仿宋" w:hAnsi="仿宋" w:eastAsia="仿宋" w:cs="宋体"/>
                <w:kern w:val="0"/>
                <w:sz w:val="24"/>
              </w:rPr>
              <w:t xml:space="preserve">   《国务院对确需保留的行政审批项目设定行政许可的决定》第200项明确规定了消毒产品生产企业（一次性使用医疗用品的生产企业除外）卫生许可予以保留。</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省卫生计生委</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4"/>
              </w:rPr>
            </w:pPr>
            <w:r>
              <w:rPr>
                <w:rFonts w:hint="eastAsia" w:ascii="仿宋" w:hAnsi="仿宋" w:eastAsia="仿宋" w:cs="宋体"/>
                <w:kern w:val="0"/>
                <w:sz w:val="24"/>
              </w:rPr>
              <w:t>市、县、自治县卫生行政部门</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4"/>
              </w:rPr>
            </w:pPr>
          </w:p>
        </w:tc>
      </w:tr>
      <w:tr>
        <w:tblPrEx>
          <w:tblLayout w:type="fixed"/>
          <w:tblCellMar>
            <w:top w:w="0" w:type="dxa"/>
            <w:left w:w="108" w:type="dxa"/>
            <w:bottom w:w="0" w:type="dxa"/>
            <w:right w:w="108" w:type="dxa"/>
          </w:tblCellMar>
        </w:tblPrEx>
        <w:trPr>
          <w:trHeight w:val="2473" w:hRule="atLeast"/>
        </w:trPr>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4</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职业健康检查与诊断机构资质审批</w:t>
            </w:r>
          </w:p>
        </w:tc>
        <w:tc>
          <w:tcPr>
            <w:tcW w:w="71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80" w:firstLineChars="200"/>
              <w:jc w:val="left"/>
              <w:textAlignment w:val="auto"/>
              <w:outlineLvl w:val="9"/>
              <w:rPr>
                <w:rFonts w:hint="eastAsia" w:ascii="仿宋" w:hAnsi="仿宋" w:eastAsia="仿宋" w:cs="宋体"/>
                <w:kern w:val="0"/>
                <w:sz w:val="24"/>
              </w:rPr>
            </w:pPr>
            <w:r>
              <w:rPr>
                <w:rFonts w:hint="eastAsia" w:ascii="仿宋" w:hAnsi="仿宋" w:eastAsia="仿宋" w:cs="宋体"/>
                <w:kern w:val="0"/>
                <w:sz w:val="24"/>
              </w:rPr>
              <w:t>《中华人民共和国职业病防治法》 第三十五条第三款:“职业健康检查应当由省级以上人民政府卫生行政部门批准的医疗卫生机构承担。”</w:t>
            </w:r>
            <w:r>
              <w:rPr>
                <w:rFonts w:hint="eastAsia" w:ascii="仿宋" w:hAnsi="仿宋" w:eastAsia="仿宋" w:cs="宋体"/>
                <w:kern w:val="0"/>
                <w:sz w:val="24"/>
              </w:rPr>
              <w:br w:type="textWrapping"/>
            </w:r>
            <w:r>
              <w:rPr>
                <w:rFonts w:hint="eastAsia" w:ascii="仿宋" w:hAnsi="仿宋" w:eastAsia="仿宋" w:cs="宋体"/>
                <w:kern w:val="0"/>
                <w:sz w:val="24"/>
              </w:rPr>
              <w:t xml:space="preserve">    第四十三条第一款:“医疗卫生机构承担职业病诊断，应当经省、自治区、直辖市人民政府卫生行政部门批准。省、自治区、直辖市人民政府卫生行政部门应当向社会公布本行政区域内承担职业病诊断的医疗卫生机构名单。”</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省卫生计生委</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rPr>
            </w:pPr>
            <w:r>
              <w:rPr>
                <w:rFonts w:hint="eastAsia" w:ascii="仿宋" w:hAnsi="仿宋" w:eastAsia="仿宋" w:cs="宋体"/>
                <w:kern w:val="0"/>
                <w:sz w:val="24"/>
              </w:rPr>
              <w:t>市、县、自治县卫生行政部门</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4"/>
              </w:rPr>
            </w:pPr>
          </w:p>
        </w:tc>
      </w:tr>
      <w:tr>
        <w:tblPrEx>
          <w:tblLayout w:type="fixed"/>
          <w:tblCellMar>
            <w:top w:w="0" w:type="dxa"/>
            <w:left w:w="108" w:type="dxa"/>
            <w:bottom w:w="0" w:type="dxa"/>
            <w:right w:w="108" w:type="dxa"/>
          </w:tblCellMar>
        </w:tblPrEx>
        <w:trPr>
          <w:trHeight w:val="2148" w:hRule="atLeast"/>
        </w:trPr>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5</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麻醉药品、第一类精神药品购用印鉴卡审批</w:t>
            </w:r>
          </w:p>
        </w:tc>
        <w:tc>
          <w:tcPr>
            <w:tcW w:w="71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80" w:firstLineChars="200"/>
              <w:jc w:val="left"/>
              <w:textAlignment w:val="auto"/>
              <w:outlineLvl w:val="9"/>
              <w:rPr>
                <w:rFonts w:hint="eastAsia" w:ascii="仿宋" w:hAnsi="仿宋" w:eastAsia="仿宋" w:cs="宋体"/>
                <w:kern w:val="0"/>
                <w:sz w:val="24"/>
              </w:rPr>
            </w:pPr>
            <w:r>
              <w:rPr>
                <w:rFonts w:hint="eastAsia" w:ascii="仿宋" w:hAnsi="仿宋" w:eastAsia="仿宋" w:cs="宋体"/>
                <w:kern w:val="0"/>
                <w:sz w:val="24"/>
              </w:rPr>
              <w:t>国务院《麻醉药品和精神药品管理条例》第三十六条第一款：“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省卫生计生委</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4"/>
              </w:rPr>
            </w:pPr>
            <w:r>
              <w:rPr>
                <w:rFonts w:hint="eastAsia" w:ascii="仿宋" w:hAnsi="仿宋" w:eastAsia="仿宋" w:cs="宋体"/>
                <w:kern w:val="0"/>
                <w:sz w:val="24"/>
              </w:rPr>
              <w:t>市、县、自治县卫生行政部门</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 w:hAnsi="仿宋" w:eastAsia="仿宋" w:cs="宋体"/>
                <w:kern w:val="0"/>
                <w:sz w:val="24"/>
              </w:rPr>
            </w:pPr>
            <w:r>
              <w:rPr>
                <w:rFonts w:hint="eastAsia" w:ascii="仿宋" w:hAnsi="仿宋" w:eastAsia="仿宋" w:cs="宋体"/>
                <w:kern w:val="0"/>
                <w:sz w:val="24"/>
              </w:rPr>
              <w:t>原海口市</w:t>
            </w:r>
            <w:r>
              <w:rPr>
                <w:rFonts w:ascii="仿宋" w:hAnsi="仿宋" w:eastAsia="仿宋" w:cs="宋体"/>
                <w:kern w:val="0"/>
                <w:sz w:val="24"/>
              </w:rPr>
              <w:t>、三亚</w:t>
            </w:r>
            <w:r>
              <w:rPr>
                <w:rFonts w:hint="eastAsia" w:ascii="仿宋" w:hAnsi="仿宋" w:eastAsia="仿宋" w:cs="宋体"/>
                <w:kern w:val="0"/>
                <w:sz w:val="24"/>
              </w:rPr>
              <w:t>市</w:t>
            </w:r>
            <w:r>
              <w:rPr>
                <w:rFonts w:ascii="仿宋" w:hAnsi="仿宋" w:eastAsia="仿宋" w:cs="宋体"/>
                <w:kern w:val="0"/>
                <w:sz w:val="24"/>
              </w:rPr>
              <w:t>的直管单位</w:t>
            </w:r>
            <w:r>
              <w:rPr>
                <w:rFonts w:hint="eastAsia" w:ascii="仿宋" w:hAnsi="仿宋" w:eastAsia="仿宋" w:cs="宋体"/>
                <w:kern w:val="0"/>
                <w:sz w:val="24"/>
              </w:rPr>
              <w:t>购用</w:t>
            </w:r>
            <w:r>
              <w:rPr>
                <w:rFonts w:ascii="仿宋" w:hAnsi="仿宋" w:eastAsia="仿宋" w:cs="宋体"/>
                <w:kern w:val="0"/>
                <w:sz w:val="24"/>
              </w:rPr>
              <w:t>印鉴卡</w:t>
            </w:r>
            <w:r>
              <w:rPr>
                <w:rFonts w:hint="eastAsia" w:ascii="仿宋" w:hAnsi="仿宋" w:eastAsia="仿宋" w:cs="宋体"/>
                <w:kern w:val="0"/>
                <w:sz w:val="24"/>
              </w:rPr>
              <w:t>,</w:t>
            </w:r>
            <w:r>
              <w:rPr>
                <w:rFonts w:ascii="仿宋" w:hAnsi="仿宋" w:eastAsia="仿宋" w:cs="宋体"/>
                <w:kern w:val="0"/>
                <w:sz w:val="24"/>
              </w:rPr>
              <w:t>继续由所在</w:t>
            </w:r>
            <w:r>
              <w:rPr>
                <w:rFonts w:hint="eastAsia" w:ascii="仿宋" w:hAnsi="仿宋" w:eastAsia="仿宋" w:cs="宋体"/>
                <w:kern w:val="0"/>
                <w:sz w:val="24"/>
              </w:rPr>
              <w:t>地市</w:t>
            </w:r>
            <w:r>
              <w:rPr>
                <w:rFonts w:ascii="仿宋" w:hAnsi="仿宋" w:eastAsia="仿宋" w:cs="宋体"/>
                <w:kern w:val="0"/>
                <w:sz w:val="24"/>
              </w:rPr>
              <w:t>卫生主管部门审批</w:t>
            </w:r>
            <w:r>
              <w:rPr>
                <w:rFonts w:hint="eastAsia" w:ascii="仿宋" w:hAnsi="仿宋" w:eastAsia="仿宋" w:cs="宋体"/>
                <w:kern w:val="0"/>
                <w:sz w:val="24"/>
              </w:rPr>
              <w:t>。</w:t>
            </w:r>
          </w:p>
        </w:tc>
      </w:tr>
      <w:tr>
        <w:tblPrEx>
          <w:tblLayout w:type="fixed"/>
          <w:tblCellMar>
            <w:top w:w="0" w:type="dxa"/>
            <w:left w:w="108" w:type="dxa"/>
            <w:bottom w:w="0" w:type="dxa"/>
            <w:right w:w="108" w:type="dxa"/>
          </w:tblCellMar>
        </w:tblPrEx>
        <w:trPr>
          <w:trHeight w:val="810" w:hRule="atLeast"/>
        </w:trPr>
        <w:tc>
          <w:tcPr>
            <w:tcW w:w="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序号</w:t>
            </w:r>
          </w:p>
        </w:tc>
        <w:tc>
          <w:tcPr>
            <w:tcW w:w="157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项目名称</w:t>
            </w:r>
          </w:p>
        </w:tc>
        <w:tc>
          <w:tcPr>
            <w:tcW w:w="71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设立依据</w:t>
            </w:r>
          </w:p>
        </w:tc>
        <w:tc>
          <w:tcPr>
            <w:tcW w:w="1843"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原实施机关</w:t>
            </w:r>
          </w:p>
        </w:tc>
        <w:tc>
          <w:tcPr>
            <w:tcW w:w="255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黑体" w:hAnsi="宋体" w:eastAsia="黑体" w:cs="宋体"/>
                <w:kern w:val="0"/>
                <w:sz w:val="30"/>
                <w:szCs w:val="30"/>
              </w:rPr>
            </w:pPr>
            <w:r>
              <w:rPr>
                <w:rFonts w:hint="eastAsia" w:ascii="黑体" w:hAnsi="宋体" w:eastAsia="黑体" w:cs="宋体"/>
                <w:kern w:val="0"/>
                <w:sz w:val="30"/>
                <w:szCs w:val="30"/>
              </w:rPr>
              <w:t>下放后实施机关</w:t>
            </w:r>
          </w:p>
        </w:tc>
        <w:tc>
          <w:tcPr>
            <w:tcW w:w="133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备注</w:t>
            </w:r>
          </w:p>
        </w:tc>
      </w:tr>
      <w:tr>
        <w:tblPrEx>
          <w:tblLayout w:type="fixed"/>
          <w:tblCellMar>
            <w:top w:w="0" w:type="dxa"/>
            <w:left w:w="108" w:type="dxa"/>
            <w:bottom w:w="0" w:type="dxa"/>
            <w:right w:w="108" w:type="dxa"/>
          </w:tblCellMar>
        </w:tblPrEx>
        <w:trPr>
          <w:trHeight w:val="2658" w:hRule="atLeast"/>
        </w:trPr>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6</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设立中外合资（合作）职业介绍机构审批</w:t>
            </w:r>
          </w:p>
        </w:tc>
        <w:tc>
          <w:tcPr>
            <w:tcW w:w="711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《国务院对确需保留的行政审批项目设定行政许可的决定》第89项“设立中外合资（合作）职业介绍机构审批”的实施机关是省级人民政府劳动保障行政主管部门 。</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szCs w:val="20"/>
              </w:rPr>
            </w:pPr>
            <w:r>
              <w:rPr>
                <w:rFonts w:hint="eastAsia" w:ascii="仿宋" w:hAnsi="仿宋" w:eastAsia="仿宋" w:cs="宋体"/>
                <w:kern w:val="0"/>
                <w:sz w:val="24"/>
                <w:szCs w:val="20"/>
              </w:rPr>
              <w:t>省人力资源和</w:t>
            </w:r>
          </w:p>
          <w:p>
            <w:pPr>
              <w:widowControl/>
              <w:jc w:val="center"/>
              <w:rPr>
                <w:rFonts w:hint="eastAsia" w:ascii="仿宋" w:hAnsi="仿宋" w:eastAsia="仿宋" w:cs="宋体"/>
                <w:kern w:val="0"/>
                <w:sz w:val="24"/>
              </w:rPr>
            </w:pPr>
            <w:r>
              <w:rPr>
                <w:rFonts w:hint="eastAsia" w:ascii="仿宋" w:hAnsi="仿宋" w:eastAsia="仿宋" w:cs="宋体"/>
                <w:kern w:val="0"/>
                <w:sz w:val="24"/>
                <w:szCs w:val="20"/>
              </w:rPr>
              <w:t>社会保障厅</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4"/>
              </w:rPr>
            </w:pPr>
            <w:r>
              <w:rPr>
                <w:rFonts w:hint="eastAsia" w:ascii="仿宋" w:hAnsi="仿宋" w:eastAsia="仿宋" w:cs="宋体"/>
                <w:kern w:val="0"/>
                <w:sz w:val="24"/>
              </w:rPr>
              <w:t>市、县、自治县人力资源和社会保障行政主管部门</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宋体"/>
                <w:kern w:val="0"/>
                <w:sz w:val="24"/>
              </w:rPr>
            </w:pPr>
          </w:p>
        </w:tc>
      </w:tr>
      <w:tr>
        <w:tblPrEx>
          <w:tblLayout w:type="fixed"/>
          <w:tblCellMar>
            <w:top w:w="0" w:type="dxa"/>
            <w:left w:w="108" w:type="dxa"/>
            <w:bottom w:w="0" w:type="dxa"/>
            <w:right w:w="108" w:type="dxa"/>
          </w:tblCellMar>
        </w:tblPrEx>
        <w:trPr>
          <w:trHeight w:val="1976" w:hRule="atLeast"/>
        </w:trPr>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7</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护士执业注册（首次、延续、跨省变更）</w:t>
            </w:r>
          </w:p>
        </w:tc>
        <w:tc>
          <w:tcPr>
            <w:tcW w:w="711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国务院《护士条例》第八条第一款：“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w:t>
            </w:r>
          </w:p>
          <w:p>
            <w:pPr>
              <w:widowControl/>
              <w:spacing w:line="28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第九条：“护士在其执业注册有效期内变更执业地点的，应当向拟执业地省、自治区、直辖市人民政府卫生主管部门报告。收到报告的卫生主管部门应当自收到报告之日起7个工作日内为其办理变更手续。护士跨省、自治区、直辖市变更执业地点的，收到报告的卫生主管部门还应当向其原执业地省、自治区、直辖市人民政府卫生主管部门通报。”</w:t>
            </w:r>
          </w:p>
          <w:p>
            <w:pPr>
              <w:widowControl/>
              <w:spacing w:line="28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第十条第一款：“护士执业注册有效期届满需要继续执业的，应当在护士执业注册有效期届满前30日向执业地省、自治区、直辖市人民政府卫生主管部门申请延续注册。收到申请的卫生主管部门对具备本条例规定条件的，准予延续，延续执业注册有效期为5年；对不具备本条例规定条件的，不予延续，并书面说明理由。”</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省卫生计生委</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4"/>
              </w:rPr>
            </w:pPr>
            <w:r>
              <w:rPr>
                <w:rFonts w:hint="eastAsia" w:ascii="仿宋" w:hAnsi="仿宋" w:eastAsia="仿宋" w:cs="宋体"/>
                <w:kern w:val="0"/>
                <w:sz w:val="24"/>
              </w:rPr>
              <w:t>市、县、自治县卫生行政部门</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 w:hAnsi="仿宋" w:eastAsia="仿宋" w:cs="宋体"/>
                <w:kern w:val="0"/>
                <w:sz w:val="24"/>
              </w:rPr>
            </w:pPr>
            <w:r>
              <w:rPr>
                <w:rFonts w:hint="eastAsia" w:ascii="仿宋" w:hAnsi="仿宋" w:eastAsia="仿宋" w:cs="宋体"/>
                <w:kern w:val="0"/>
                <w:sz w:val="24"/>
              </w:rPr>
              <w:t>此项为“医疗卫生人员资格认定、注册审批”的子项</w:t>
            </w:r>
          </w:p>
        </w:tc>
      </w:tr>
      <w:tr>
        <w:tblPrEx>
          <w:tblLayout w:type="fixed"/>
          <w:tblCellMar>
            <w:top w:w="0" w:type="dxa"/>
            <w:left w:w="108" w:type="dxa"/>
            <w:bottom w:w="0" w:type="dxa"/>
            <w:right w:w="108" w:type="dxa"/>
          </w:tblCellMar>
        </w:tblPrEx>
        <w:trPr>
          <w:trHeight w:val="810" w:hRule="atLeast"/>
        </w:trPr>
        <w:tc>
          <w:tcPr>
            <w:tcW w:w="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序号</w:t>
            </w:r>
          </w:p>
        </w:tc>
        <w:tc>
          <w:tcPr>
            <w:tcW w:w="157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项目名称</w:t>
            </w:r>
          </w:p>
        </w:tc>
        <w:tc>
          <w:tcPr>
            <w:tcW w:w="71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设立依据</w:t>
            </w:r>
          </w:p>
        </w:tc>
        <w:tc>
          <w:tcPr>
            <w:tcW w:w="1843"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原实施机关</w:t>
            </w:r>
          </w:p>
        </w:tc>
        <w:tc>
          <w:tcPr>
            <w:tcW w:w="255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黑体" w:hAnsi="宋体" w:eastAsia="黑体" w:cs="宋体"/>
                <w:kern w:val="0"/>
                <w:sz w:val="30"/>
                <w:szCs w:val="30"/>
              </w:rPr>
            </w:pPr>
            <w:r>
              <w:rPr>
                <w:rFonts w:hint="eastAsia" w:ascii="黑体" w:hAnsi="宋体" w:eastAsia="黑体" w:cs="宋体"/>
                <w:kern w:val="0"/>
                <w:sz w:val="30"/>
                <w:szCs w:val="30"/>
              </w:rPr>
              <w:t>下放后实施机关</w:t>
            </w:r>
          </w:p>
        </w:tc>
        <w:tc>
          <w:tcPr>
            <w:tcW w:w="133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黑体" w:hAnsi="宋体" w:eastAsia="黑体" w:cs="宋体"/>
                <w:kern w:val="0"/>
                <w:sz w:val="30"/>
                <w:szCs w:val="30"/>
              </w:rPr>
            </w:pPr>
            <w:r>
              <w:rPr>
                <w:rFonts w:hint="eastAsia" w:ascii="黑体" w:hAnsi="宋体" w:eastAsia="黑体" w:cs="宋体"/>
                <w:kern w:val="0"/>
                <w:sz w:val="30"/>
                <w:szCs w:val="30"/>
              </w:rPr>
              <w:t>备注</w:t>
            </w:r>
          </w:p>
        </w:tc>
      </w:tr>
      <w:tr>
        <w:tblPrEx>
          <w:tblLayout w:type="fixed"/>
          <w:tblCellMar>
            <w:top w:w="0" w:type="dxa"/>
            <w:left w:w="108" w:type="dxa"/>
            <w:bottom w:w="0" w:type="dxa"/>
            <w:right w:w="108" w:type="dxa"/>
          </w:tblCellMar>
        </w:tblPrEx>
        <w:trPr>
          <w:trHeight w:val="1235" w:hRule="atLeast"/>
        </w:trPr>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8</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港澳台医师内地医师资格认定</w:t>
            </w:r>
          </w:p>
        </w:tc>
        <w:tc>
          <w:tcPr>
            <w:tcW w:w="711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《中华人民共和国执业医师法》第四十七条：“境外人员在中国境内申请医师考试、注册、执业或者从事临床示教、临床研究等活动的，按照国家有关规定办理。”</w:t>
            </w:r>
            <w:r>
              <w:rPr>
                <w:rFonts w:hint="eastAsia" w:ascii="仿宋" w:hAnsi="仿宋" w:eastAsia="仿宋" w:cs="宋体"/>
                <w:kern w:val="0"/>
                <w:sz w:val="24"/>
              </w:rPr>
              <w:br w:type="textWrapping"/>
            </w:r>
            <w:r>
              <w:rPr>
                <w:rFonts w:hint="eastAsia" w:ascii="仿宋" w:hAnsi="仿宋" w:eastAsia="仿宋" w:cs="宋体"/>
                <w:kern w:val="0"/>
                <w:sz w:val="24"/>
              </w:rPr>
              <w:t xml:space="preserve">    《关于</w:t>
            </w:r>
            <w:r>
              <w:rPr>
                <w:rFonts w:ascii="仿宋" w:hAnsi="仿宋" w:eastAsia="仿宋" w:cs="宋体"/>
                <w:kern w:val="0"/>
                <w:sz w:val="24"/>
              </w:rPr>
              <w:t>印发</w:t>
            </w:r>
            <w:r>
              <w:rPr>
                <w:rFonts w:hint="eastAsia" w:ascii="仿宋" w:hAnsi="仿宋" w:eastAsia="仿宋" w:cs="宋体"/>
                <w:kern w:val="0"/>
                <w:sz w:val="24"/>
              </w:rPr>
              <w:t>&lt;香港和澳门特别行政区医师获得内地医师资格认定管理办法&gt;的</w:t>
            </w:r>
            <w:r>
              <w:rPr>
                <w:rFonts w:ascii="仿宋" w:hAnsi="仿宋" w:eastAsia="仿宋" w:cs="宋体"/>
                <w:kern w:val="0"/>
                <w:sz w:val="24"/>
              </w:rPr>
              <w:t>通知</w:t>
            </w:r>
            <w:r>
              <w:rPr>
                <w:rFonts w:hint="eastAsia" w:ascii="仿宋" w:hAnsi="仿宋" w:eastAsia="仿宋" w:cs="宋体"/>
                <w:kern w:val="0"/>
                <w:sz w:val="24"/>
              </w:rPr>
              <w:t>》（卫医政发</w:t>
            </w:r>
            <w:r>
              <w:rPr>
                <w:rFonts w:ascii="仿宋" w:hAnsi="仿宋" w:eastAsia="仿宋" w:cs="宋体"/>
                <w:kern w:val="0"/>
                <w:sz w:val="24"/>
              </w:rPr>
              <w:t>[2009]33</w:t>
            </w:r>
            <w:r>
              <w:rPr>
                <w:rFonts w:hint="eastAsia" w:ascii="仿宋" w:hAnsi="仿宋" w:eastAsia="仿宋" w:cs="宋体"/>
                <w:kern w:val="0"/>
                <w:sz w:val="24"/>
              </w:rPr>
              <w:t>号）第五条：“省级卫生行政部门负责香港、澳门特别行政区医师申请内地医师资格认定的受理、审核和认定工作。”</w:t>
            </w:r>
            <w:r>
              <w:rPr>
                <w:rFonts w:hint="eastAsia" w:ascii="仿宋" w:hAnsi="仿宋" w:eastAsia="仿宋" w:cs="宋体"/>
                <w:kern w:val="0"/>
                <w:sz w:val="24"/>
              </w:rPr>
              <w:br w:type="textWrapping"/>
            </w:r>
            <w:r>
              <w:rPr>
                <w:rFonts w:hint="eastAsia" w:ascii="仿宋" w:hAnsi="仿宋" w:eastAsia="仿宋" w:cs="宋体"/>
                <w:kern w:val="0"/>
                <w:sz w:val="24"/>
              </w:rPr>
              <w:t xml:space="preserve">    《关于</w:t>
            </w:r>
            <w:r>
              <w:rPr>
                <w:rFonts w:ascii="仿宋" w:hAnsi="仿宋" w:eastAsia="仿宋" w:cs="宋体"/>
                <w:kern w:val="0"/>
                <w:sz w:val="24"/>
              </w:rPr>
              <w:t>印发</w:t>
            </w:r>
            <w:r>
              <w:rPr>
                <w:rFonts w:hint="eastAsia" w:ascii="仿宋" w:hAnsi="仿宋" w:eastAsia="仿宋" w:cs="宋体"/>
                <w:kern w:val="0"/>
                <w:sz w:val="24"/>
              </w:rPr>
              <w:t>&lt;台湾地区医师获得大陆医师资格认定管理办法&gt;的</w:t>
            </w:r>
            <w:r>
              <w:rPr>
                <w:rFonts w:ascii="仿宋" w:hAnsi="仿宋" w:eastAsia="仿宋" w:cs="宋体"/>
                <w:kern w:val="0"/>
                <w:sz w:val="24"/>
              </w:rPr>
              <w:t>通知</w:t>
            </w:r>
            <w:r>
              <w:rPr>
                <w:rFonts w:hint="eastAsia" w:ascii="仿宋" w:hAnsi="仿宋" w:eastAsia="仿宋" w:cs="宋体"/>
                <w:kern w:val="0"/>
                <w:sz w:val="24"/>
              </w:rPr>
              <w:t>》（卫医政发</w:t>
            </w:r>
            <w:r>
              <w:rPr>
                <w:rFonts w:ascii="仿宋" w:hAnsi="仿宋" w:eastAsia="仿宋" w:cs="宋体"/>
                <w:kern w:val="0"/>
                <w:sz w:val="24"/>
              </w:rPr>
              <w:t>[2009]32</w:t>
            </w:r>
            <w:r>
              <w:rPr>
                <w:rFonts w:hint="eastAsia" w:ascii="仿宋" w:hAnsi="仿宋" w:eastAsia="仿宋" w:cs="宋体"/>
                <w:kern w:val="0"/>
                <w:sz w:val="24"/>
              </w:rPr>
              <w:t>号）第五条：“省级卫生行政部门负责台湾地区医师申请大陆医师资格认定的受理、审核和认定工作。”</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省卫生计生委</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4"/>
              </w:rPr>
            </w:pPr>
            <w:r>
              <w:rPr>
                <w:rFonts w:hint="eastAsia" w:ascii="仿宋" w:hAnsi="仿宋" w:eastAsia="仿宋" w:cs="宋体"/>
                <w:kern w:val="0"/>
                <w:sz w:val="24"/>
              </w:rPr>
              <w:t>市、县、自治县卫生行政部门</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 w:hAnsi="仿宋" w:eastAsia="仿宋" w:cs="宋体"/>
                <w:kern w:val="0"/>
                <w:sz w:val="24"/>
              </w:rPr>
            </w:pPr>
            <w:r>
              <w:rPr>
                <w:rFonts w:hint="eastAsia" w:ascii="仿宋" w:hAnsi="仿宋" w:eastAsia="仿宋" w:cs="宋体"/>
                <w:kern w:val="0"/>
                <w:sz w:val="24"/>
              </w:rPr>
              <w:t>此项为“医疗卫生人员资格认定、注册审批”的子项</w:t>
            </w:r>
          </w:p>
        </w:tc>
      </w:tr>
    </w:tbl>
    <w:p>
      <w:pPr>
        <w:widowControl/>
        <w:spacing w:line="300" w:lineRule="atLeast"/>
        <w:ind w:firstLine="630"/>
        <w:rPr>
          <w:rFonts w:hint="eastAsia" w:ascii="仿宋_GB2312" w:hAnsi="Arial" w:cs="Arial"/>
          <w:kern w:val="0"/>
          <w:szCs w:val="32"/>
        </w:rPr>
      </w:pPr>
    </w:p>
    <w:p>
      <w:pPr>
        <w:spacing w:line="360" w:lineRule="auto"/>
        <w:rPr>
          <w:rFonts w:hint="eastAsia" w:ascii="黑体" w:hAnsi="宋体" w:eastAsia="黑体"/>
          <w:szCs w:val="32"/>
        </w:rPr>
      </w:pPr>
    </w:p>
    <w:sectPr>
      <w:pgSz w:w="16838" w:h="11906" w:orient="landscape"/>
      <w:pgMar w:top="1803" w:right="1440" w:bottom="1468" w:left="1440" w:header="851" w:footer="992" w:gutter="0"/>
      <w:paperSrc/>
      <w:cols w:space="720" w:num="1"/>
      <w:rtlGutter w:val="0"/>
      <w:docGrid w:type="lines" w:linePitch="4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ˎ̥">
    <w:altName w:val="微软雅黑"/>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方正小标宋_GBK">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lang/>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227"/>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0EF"/>
    <w:rsid w:val="00040091"/>
    <w:rsid w:val="0004686C"/>
    <w:rsid w:val="00071008"/>
    <w:rsid w:val="00071849"/>
    <w:rsid w:val="000C1995"/>
    <w:rsid w:val="000E3675"/>
    <w:rsid w:val="000E5A16"/>
    <w:rsid w:val="00113FE0"/>
    <w:rsid w:val="0011502E"/>
    <w:rsid w:val="00140A15"/>
    <w:rsid w:val="001425CC"/>
    <w:rsid w:val="00167C58"/>
    <w:rsid w:val="00174E76"/>
    <w:rsid w:val="001923BE"/>
    <w:rsid w:val="00193744"/>
    <w:rsid w:val="00194895"/>
    <w:rsid w:val="001C21A2"/>
    <w:rsid w:val="001C55E2"/>
    <w:rsid w:val="001C6F87"/>
    <w:rsid w:val="001D19B9"/>
    <w:rsid w:val="001D330A"/>
    <w:rsid w:val="001D3D32"/>
    <w:rsid w:val="001F1629"/>
    <w:rsid w:val="0022409A"/>
    <w:rsid w:val="002264B7"/>
    <w:rsid w:val="002832DD"/>
    <w:rsid w:val="00296BE2"/>
    <w:rsid w:val="002C2410"/>
    <w:rsid w:val="002D175C"/>
    <w:rsid w:val="00316C6C"/>
    <w:rsid w:val="003171F8"/>
    <w:rsid w:val="0032209A"/>
    <w:rsid w:val="003305C1"/>
    <w:rsid w:val="00373633"/>
    <w:rsid w:val="003970AC"/>
    <w:rsid w:val="003B4B74"/>
    <w:rsid w:val="003D13A2"/>
    <w:rsid w:val="003E35CB"/>
    <w:rsid w:val="003F31DE"/>
    <w:rsid w:val="003F3848"/>
    <w:rsid w:val="00402896"/>
    <w:rsid w:val="00402BB8"/>
    <w:rsid w:val="004204F5"/>
    <w:rsid w:val="00444E4C"/>
    <w:rsid w:val="00446796"/>
    <w:rsid w:val="00447596"/>
    <w:rsid w:val="0046150D"/>
    <w:rsid w:val="00486022"/>
    <w:rsid w:val="00486700"/>
    <w:rsid w:val="00492006"/>
    <w:rsid w:val="004B11B3"/>
    <w:rsid w:val="004B1618"/>
    <w:rsid w:val="004B2947"/>
    <w:rsid w:val="004D0B6A"/>
    <w:rsid w:val="004F2E20"/>
    <w:rsid w:val="00501D76"/>
    <w:rsid w:val="0051307F"/>
    <w:rsid w:val="00514845"/>
    <w:rsid w:val="00521D4B"/>
    <w:rsid w:val="00526A96"/>
    <w:rsid w:val="005307AF"/>
    <w:rsid w:val="005364E1"/>
    <w:rsid w:val="00571E16"/>
    <w:rsid w:val="00575BD3"/>
    <w:rsid w:val="005C7D0C"/>
    <w:rsid w:val="00600D26"/>
    <w:rsid w:val="00605BEC"/>
    <w:rsid w:val="00614DBA"/>
    <w:rsid w:val="00623278"/>
    <w:rsid w:val="00650DC0"/>
    <w:rsid w:val="006A0128"/>
    <w:rsid w:val="006B7A2F"/>
    <w:rsid w:val="006D04EC"/>
    <w:rsid w:val="0071567E"/>
    <w:rsid w:val="007312C7"/>
    <w:rsid w:val="00732897"/>
    <w:rsid w:val="0074122E"/>
    <w:rsid w:val="00754DC6"/>
    <w:rsid w:val="00767C9A"/>
    <w:rsid w:val="00774526"/>
    <w:rsid w:val="00785CC5"/>
    <w:rsid w:val="007A0F76"/>
    <w:rsid w:val="007B713B"/>
    <w:rsid w:val="007C1810"/>
    <w:rsid w:val="007D2ED5"/>
    <w:rsid w:val="007D7A58"/>
    <w:rsid w:val="007F053D"/>
    <w:rsid w:val="00837A4E"/>
    <w:rsid w:val="00840E9D"/>
    <w:rsid w:val="00855911"/>
    <w:rsid w:val="00856837"/>
    <w:rsid w:val="008671B8"/>
    <w:rsid w:val="008717E2"/>
    <w:rsid w:val="00873128"/>
    <w:rsid w:val="008B7A93"/>
    <w:rsid w:val="008C50EF"/>
    <w:rsid w:val="008D1DB5"/>
    <w:rsid w:val="008D1EA1"/>
    <w:rsid w:val="008E64DC"/>
    <w:rsid w:val="00904F1E"/>
    <w:rsid w:val="00905331"/>
    <w:rsid w:val="0090739A"/>
    <w:rsid w:val="00935D0F"/>
    <w:rsid w:val="00937FA5"/>
    <w:rsid w:val="00955878"/>
    <w:rsid w:val="0098462A"/>
    <w:rsid w:val="009C68BC"/>
    <w:rsid w:val="009D3144"/>
    <w:rsid w:val="009F1E6A"/>
    <w:rsid w:val="009F2727"/>
    <w:rsid w:val="00A05545"/>
    <w:rsid w:val="00A4067E"/>
    <w:rsid w:val="00A43782"/>
    <w:rsid w:val="00A7414C"/>
    <w:rsid w:val="00A80189"/>
    <w:rsid w:val="00A96325"/>
    <w:rsid w:val="00A97C23"/>
    <w:rsid w:val="00AB294B"/>
    <w:rsid w:val="00AC1A24"/>
    <w:rsid w:val="00AD03F1"/>
    <w:rsid w:val="00AD21B9"/>
    <w:rsid w:val="00AF062F"/>
    <w:rsid w:val="00AF2B49"/>
    <w:rsid w:val="00AF41AC"/>
    <w:rsid w:val="00B05142"/>
    <w:rsid w:val="00B05E54"/>
    <w:rsid w:val="00B10541"/>
    <w:rsid w:val="00B25707"/>
    <w:rsid w:val="00B46CAD"/>
    <w:rsid w:val="00B5137A"/>
    <w:rsid w:val="00B61259"/>
    <w:rsid w:val="00B6783A"/>
    <w:rsid w:val="00B876FA"/>
    <w:rsid w:val="00BB5820"/>
    <w:rsid w:val="00BC6510"/>
    <w:rsid w:val="00BD3E59"/>
    <w:rsid w:val="00BD585D"/>
    <w:rsid w:val="00BF2DB2"/>
    <w:rsid w:val="00BF749B"/>
    <w:rsid w:val="00C109B9"/>
    <w:rsid w:val="00C460A9"/>
    <w:rsid w:val="00C73E9F"/>
    <w:rsid w:val="00C77F72"/>
    <w:rsid w:val="00CE7167"/>
    <w:rsid w:val="00CF3090"/>
    <w:rsid w:val="00D06D96"/>
    <w:rsid w:val="00D11DBE"/>
    <w:rsid w:val="00D27DF1"/>
    <w:rsid w:val="00DA03E7"/>
    <w:rsid w:val="00DC37E7"/>
    <w:rsid w:val="00DD06A5"/>
    <w:rsid w:val="00DD6759"/>
    <w:rsid w:val="00DE5667"/>
    <w:rsid w:val="00DF0385"/>
    <w:rsid w:val="00DF4387"/>
    <w:rsid w:val="00E22B11"/>
    <w:rsid w:val="00E47794"/>
    <w:rsid w:val="00E63EBF"/>
    <w:rsid w:val="00E750C9"/>
    <w:rsid w:val="00E861B6"/>
    <w:rsid w:val="00EB7A12"/>
    <w:rsid w:val="00ED6379"/>
    <w:rsid w:val="00EF4BFF"/>
    <w:rsid w:val="00F0475D"/>
    <w:rsid w:val="00F3264D"/>
    <w:rsid w:val="00F62F96"/>
    <w:rsid w:val="00F64C0E"/>
    <w:rsid w:val="00F6718D"/>
    <w:rsid w:val="00F761BE"/>
    <w:rsid w:val="00F775FD"/>
    <w:rsid w:val="00FB03A8"/>
    <w:rsid w:val="00FB4606"/>
    <w:rsid w:val="00FF173E"/>
    <w:rsid w:val="0799172E"/>
    <w:rsid w:val="0D1A400D"/>
    <w:rsid w:val="105D08E7"/>
    <w:rsid w:val="28F57442"/>
    <w:rsid w:val="2A995E9D"/>
    <w:rsid w:val="386501C9"/>
    <w:rsid w:val="396C354D"/>
    <w:rsid w:val="491F0908"/>
    <w:rsid w:val="4AFA7D04"/>
    <w:rsid w:val="736153DB"/>
    <w:rsid w:val="75D8350F"/>
    <w:rsid w:val="78A56E7C"/>
    <w:rsid w:val="7D160944"/>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7">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tcPr>
      <w:textDirection w:val="lrTb"/>
    </w:tcPr>
  </w:style>
  <w:style w:type="paragraph" w:styleId="2">
    <w:name w:val="Plain Text"/>
    <w:basedOn w:val="1"/>
    <w:link w:val="13"/>
    <w:unhideWhenUsed/>
    <w:uiPriority w:val="99"/>
    <w:rPr>
      <w:rFonts w:ascii="宋体" w:hAnsi="Courier New" w:eastAsia="宋体" w:cs="Courier New"/>
      <w:sz w:val="21"/>
      <w:szCs w:val="21"/>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styleId="9">
    <w:name w:val="Hyperlink"/>
    <w:uiPriority w:val="0"/>
    <w:rPr>
      <w:rFonts w:hint="default" w:ascii="ˎ̥" w:hAnsi="ˎ̥"/>
      <w:color w:val="0404B3"/>
      <w:sz w:val="18"/>
      <w:szCs w:val="18"/>
      <w:u w:val="none"/>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2">
    <w:name w:val="列出段落"/>
    <w:basedOn w:val="1"/>
    <w:qFormat/>
    <w:uiPriority w:val="34"/>
    <w:pPr>
      <w:ind w:firstLine="420" w:firstLineChars="200"/>
    </w:pPr>
    <w:rPr>
      <w:rFonts w:ascii="Calibri" w:hAnsi="Calibri" w:eastAsia="宋体"/>
      <w:sz w:val="21"/>
      <w:szCs w:val="22"/>
    </w:rPr>
  </w:style>
  <w:style w:type="character" w:customStyle="1" w:styleId="13">
    <w:name w:val=" Char Char2"/>
    <w:link w:val="2"/>
    <w:uiPriority w:val="99"/>
    <w:rPr>
      <w:rFonts w:ascii="宋体" w:hAnsi="Courier New" w:cs="Courier New"/>
      <w:kern w:val="2"/>
      <w:sz w:val="21"/>
      <w:szCs w:val="21"/>
    </w:rPr>
  </w:style>
  <w:style w:type="character" w:customStyle="1" w:styleId="14">
    <w:name w:val=" Char Char"/>
    <w:link w:val="5"/>
    <w:uiPriority w:val="0"/>
    <w:rPr>
      <w:rFonts w:eastAsia="仿宋_GB2312"/>
      <w:kern w:val="2"/>
      <w:sz w:val="18"/>
      <w:szCs w:val="18"/>
    </w:rPr>
  </w:style>
  <w:style w:type="character" w:customStyle="1" w:styleId="15">
    <w:name w:val=" Char Char1"/>
    <w:link w:val="6"/>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npc</Company>
  <Pages>1</Pages>
  <Words>734</Words>
  <Characters>4187</Characters>
  <Lines>34</Lines>
  <Paragraphs>9</Paragraphs>
  <ScaleCrop>false</ScaleCrop>
  <LinksUpToDate>false</LinksUpToDate>
  <CharactersWithSpaces>4912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2017-01-11T02:38:00Z</dcterms:created>
  <dc:creator>lenovo</dc:creator>
  <cp:lastModifiedBy>lenovo</cp:lastModifiedBy>
  <cp:lastPrinted>2017-01-11T03:31:00Z</cp:lastPrinted>
  <dcterms:modified xsi:type="dcterms:W3CDTF">2017-04-19T07:03:57Z</dcterms:modified>
  <dc:title>备案报告电子报备标准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