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B6B" w:rsidRDefault="00CF2B6B" w:rsidP="00CF2B6B">
      <w:pPr>
        <w:tabs>
          <w:tab w:val="left" w:pos="790"/>
        </w:tabs>
        <w:spacing w:line="592" w:lineRule="exact"/>
        <w:ind w:firstLineChars="200" w:firstLine="31680"/>
        <w:rPr>
          <w:rFonts w:ascii="宋体" w:cs="宋体"/>
          <w:b/>
          <w:bCs/>
        </w:rPr>
      </w:pPr>
    </w:p>
    <w:p w:rsidR="00CF2B6B" w:rsidRDefault="00CF2B6B" w:rsidP="00834725">
      <w:pPr>
        <w:tabs>
          <w:tab w:val="left" w:pos="790"/>
        </w:tabs>
        <w:spacing w:line="592" w:lineRule="exact"/>
        <w:ind w:firstLineChars="200" w:firstLine="31680"/>
        <w:rPr>
          <w:rFonts w:ascii="宋体" w:cs="宋体"/>
          <w:b/>
          <w:bCs/>
        </w:rPr>
      </w:pPr>
    </w:p>
    <w:p w:rsidR="00CF2B6B" w:rsidRDefault="00CF2B6B" w:rsidP="00834725">
      <w:pPr>
        <w:jc w:val="center"/>
        <w:rPr>
          <w:sz w:val="44"/>
          <w:szCs w:val="44"/>
        </w:rPr>
      </w:pPr>
      <w:r>
        <w:rPr>
          <w:rFonts w:cs="宋体" w:hint="eastAsia"/>
          <w:sz w:val="44"/>
          <w:szCs w:val="44"/>
        </w:rPr>
        <w:t>松桃苗族自治县新型农村合作医疗条例</w:t>
      </w:r>
    </w:p>
    <w:p w:rsidR="00CF2B6B" w:rsidRDefault="00CF2B6B" w:rsidP="00834725">
      <w:r>
        <w:rPr>
          <w:rFonts w:cs="宋体" w:hint="eastAsia"/>
        </w:rPr>
        <w:t xml:space="preserve">　　　</w:t>
      </w:r>
    </w:p>
    <w:p w:rsidR="00CF2B6B" w:rsidRPr="00834725" w:rsidRDefault="00CF2B6B" w:rsidP="00834725">
      <w:pPr>
        <w:ind w:leftChars="197" w:left="31680" w:rightChars="196" w:right="31680"/>
      </w:pPr>
      <w:r>
        <w:rPr>
          <w:rFonts w:ascii="楷体_GB2312" w:eastAsia="楷体_GB2312" w:hAnsi="楷体_GB2312" w:cs="楷体_GB2312" w:hint="eastAsia"/>
        </w:rPr>
        <w:t>（</w:t>
      </w:r>
      <w:r>
        <w:rPr>
          <w:rFonts w:ascii="楷体_GB2312" w:eastAsia="楷体_GB2312" w:hAnsi="楷体_GB2312" w:cs="楷体_GB2312"/>
        </w:rPr>
        <w:t>2015</w:t>
      </w:r>
      <w:r>
        <w:rPr>
          <w:rFonts w:ascii="楷体_GB2312" w:eastAsia="楷体_GB2312" w:hAnsi="楷体_GB2312" w:cs="楷体_GB2312" w:hint="eastAsia"/>
        </w:rPr>
        <w:t>年</w:t>
      </w:r>
      <w:r>
        <w:rPr>
          <w:rFonts w:ascii="楷体_GB2312" w:eastAsia="楷体_GB2312" w:hAnsi="楷体_GB2312" w:cs="楷体_GB2312"/>
        </w:rPr>
        <w:t>2</w:t>
      </w:r>
      <w:r>
        <w:rPr>
          <w:rFonts w:ascii="楷体_GB2312" w:eastAsia="楷体_GB2312" w:hAnsi="楷体_GB2312" w:cs="楷体_GB2312" w:hint="eastAsia"/>
        </w:rPr>
        <w:t>月</w:t>
      </w:r>
      <w:r>
        <w:rPr>
          <w:rFonts w:ascii="楷体_GB2312" w:eastAsia="楷体_GB2312" w:hAnsi="楷体_GB2312" w:cs="楷体_GB2312"/>
        </w:rPr>
        <w:t>3</w:t>
      </w:r>
      <w:r>
        <w:rPr>
          <w:rFonts w:ascii="楷体_GB2312" w:eastAsia="楷体_GB2312" w:hAnsi="楷体_GB2312" w:cs="楷体_GB2312" w:hint="eastAsia"/>
        </w:rPr>
        <w:t>日松桃苗族自治县第十五届人民代表大会第五次会议通过</w:t>
      </w:r>
      <w:r>
        <w:rPr>
          <w:rFonts w:ascii="楷体_GB2312" w:eastAsia="楷体_GB2312" w:hAnsi="楷体_GB2312" w:cs="楷体_GB2312"/>
        </w:rPr>
        <w:t xml:space="preserve">  2015</w:t>
      </w:r>
      <w:r>
        <w:rPr>
          <w:rFonts w:ascii="楷体_GB2312" w:eastAsia="楷体_GB2312" w:hAnsi="楷体_GB2312" w:cs="楷体_GB2312" w:hint="eastAsia"/>
        </w:rPr>
        <w:t>年</w:t>
      </w:r>
      <w:r>
        <w:rPr>
          <w:rFonts w:ascii="楷体_GB2312" w:eastAsia="楷体_GB2312" w:hAnsi="楷体_GB2312" w:cs="楷体_GB2312"/>
        </w:rPr>
        <w:t>3</w:t>
      </w:r>
      <w:r>
        <w:rPr>
          <w:rFonts w:ascii="楷体_GB2312" w:eastAsia="楷体_GB2312" w:hAnsi="楷体_GB2312" w:cs="楷体_GB2312" w:hint="eastAsia"/>
        </w:rPr>
        <w:t>月</w:t>
      </w:r>
      <w:r>
        <w:rPr>
          <w:rFonts w:ascii="楷体_GB2312" w:eastAsia="楷体_GB2312" w:hAnsi="楷体_GB2312" w:cs="楷体_GB2312"/>
        </w:rPr>
        <w:t>27</w:t>
      </w:r>
      <w:r>
        <w:rPr>
          <w:rFonts w:ascii="楷体_GB2312" w:eastAsia="楷体_GB2312" w:hAnsi="楷体_GB2312" w:cs="楷体_GB2312" w:hint="eastAsia"/>
        </w:rPr>
        <w:t>日贵州省第十二届人民代表大会常务委员会第十四次会议批准）</w:t>
      </w:r>
      <w:r>
        <w:rPr>
          <w:rFonts w:ascii="楷体_GB2312" w:eastAsia="楷体_GB2312" w:hAnsi="楷体_GB2312" w:cs="楷体_GB2312"/>
        </w:rPr>
        <w:t xml:space="preserve"> </w:t>
      </w:r>
    </w:p>
    <w:p w:rsidR="00CF2B6B" w:rsidRDefault="00CF2B6B" w:rsidP="00834725">
      <w:pPr>
        <w:rPr>
          <w:rFonts w:ascii="楷体_GB2312" w:eastAsia="楷体_GB2312" w:hAnsi="楷体_GB2312"/>
        </w:rPr>
      </w:pPr>
    </w:p>
    <w:p w:rsidR="00CF2B6B" w:rsidRDefault="00CF2B6B" w:rsidP="00834725">
      <w:pPr>
        <w:jc w:val="center"/>
        <w:rPr>
          <w:rFonts w:ascii="楷体_GB2312" w:eastAsia="楷体_GB2312" w:hAnsi="楷体_GB2312"/>
        </w:rPr>
      </w:pPr>
      <w:r>
        <w:rPr>
          <w:rFonts w:ascii="楷体_GB2312" w:eastAsia="楷体_GB2312" w:hAnsi="楷体_GB2312" w:cs="楷体_GB2312" w:hint="eastAsia"/>
        </w:rPr>
        <w:t>目</w:t>
      </w:r>
      <w:r>
        <w:rPr>
          <w:rFonts w:ascii="楷体_GB2312" w:eastAsia="楷体_GB2312" w:hAnsi="楷体_GB2312" w:cs="楷体_GB2312"/>
        </w:rPr>
        <w:t xml:space="preserve">    </w:t>
      </w:r>
      <w:r>
        <w:rPr>
          <w:rFonts w:ascii="楷体_GB2312" w:eastAsia="楷体_GB2312" w:hAnsi="楷体_GB2312" w:cs="楷体_GB2312" w:hint="eastAsia"/>
        </w:rPr>
        <w:t>录</w:t>
      </w:r>
    </w:p>
    <w:p w:rsidR="00CF2B6B" w:rsidRDefault="00CF2B6B" w:rsidP="00834725">
      <w:pPr>
        <w:rPr>
          <w:rFonts w:ascii="楷体_GB2312" w:eastAsia="楷体_GB2312" w:hAnsi="楷体_GB2312" w:cs="楷体_GB2312"/>
        </w:rPr>
      </w:pPr>
      <w:r>
        <w:rPr>
          <w:rFonts w:ascii="楷体_GB2312" w:eastAsia="楷体_GB2312" w:hAnsi="楷体_GB2312" w:cs="楷体_GB2312"/>
        </w:rPr>
        <w:t xml:space="preserve">    </w:t>
      </w:r>
    </w:p>
    <w:p w:rsidR="00CF2B6B" w:rsidRPr="00834725" w:rsidRDefault="00CF2B6B" w:rsidP="00834725">
      <w:pPr>
        <w:rPr>
          <w:rFonts w:ascii="楷体_GB2312" w:eastAsia="楷体_GB2312" w:hAnsi="仿宋_GB2312"/>
        </w:rPr>
      </w:pPr>
      <w:r>
        <w:rPr>
          <w:rFonts w:ascii="楷体_GB2312" w:eastAsia="楷体_GB2312" w:hAnsi="楷体_GB2312" w:cs="楷体_GB2312"/>
        </w:rPr>
        <w:t xml:space="preserve">    </w:t>
      </w:r>
      <w:r w:rsidRPr="00834725">
        <w:rPr>
          <w:rFonts w:ascii="楷体_GB2312" w:eastAsia="楷体_GB2312" w:hAnsi="楷体_GB2312" w:cs="楷体_GB2312" w:hint="eastAsia"/>
        </w:rPr>
        <w:t>第一章</w:t>
      </w:r>
      <w:r w:rsidRPr="00834725">
        <w:rPr>
          <w:rFonts w:ascii="楷体_GB2312" w:eastAsia="楷体_GB2312" w:hAnsi="楷体_GB2312" w:cs="楷体_GB2312"/>
        </w:rPr>
        <w:t xml:space="preserve">  </w:t>
      </w:r>
      <w:r w:rsidRPr="00834725">
        <w:rPr>
          <w:rFonts w:ascii="楷体_GB2312" w:eastAsia="楷体_GB2312" w:hAnsi="仿宋_GB2312" w:cs="楷体_GB2312" w:hint="eastAsia"/>
        </w:rPr>
        <w:t>总则</w:t>
      </w:r>
    </w:p>
    <w:p w:rsidR="00CF2B6B" w:rsidRPr="00834725" w:rsidRDefault="00CF2B6B" w:rsidP="00834725">
      <w:pPr>
        <w:ind w:firstLine="640"/>
        <w:rPr>
          <w:rFonts w:ascii="楷体_GB2312" w:eastAsia="楷体_GB2312" w:hAnsi="仿宋_GB2312"/>
        </w:rPr>
      </w:pPr>
      <w:r w:rsidRPr="00834725">
        <w:rPr>
          <w:rFonts w:ascii="楷体_GB2312" w:eastAsia="楷体_GB2312" w:hAnsi="楷体_GB2312" w:cs="楷体_GB2312" w:hint="eastAsia"/>
        </w:rPr>
        <w:t>第二章</w:t>
      </w:r>
      <w:r w:rsidRPr="00834725">
        <w:rPr>
          <w:rFonts w:ascii="楷体_GB2312" w:eastAsia="楷体_GB2312" w:hAnsi="楷体_GB2312" w:cs="楷体_GB2312"/>
        </w:rPr>
        <w:t xml:space="preserve">  </w:t>
      </w:r>
      <w:r w:rsidRPr="00834725">
        <w:rPr>
          <w:rFonts w:ascii="楷体_GB2312" w:eastAsia="楷体_GB2312" w:hAnsi="仿宋_GB2312" w:cs="楷体_GB2312" w:hint="eastAsia"/>
        </w:rPr>
        <w:t>参合人员</w:t>
      </w:r>
    </w:p>
    <w:p w:rsidR="00CF2B6B" w:rsidRPr="00834725" w:rsidRDefault="00CF2B6B" w:rsidP="00834725">
      <w:pPr>
        <w:ind w:firstLine="640"/>
        <w:rPr>
          <w:rFonts w:ascii="楷体_GB2312" w:eastAsia="楷体_GB2312" w:hAnsi="仿宋_GB2312" w:cs="楷体_GB2312"/>
        </w:rPr>
      </w:pPr>
      <w:r w:rsidRPr="00834725">
        <w:rPr>
          <w:rFonts w:ascii="楷体_GB2312" w:eastAsia="楷体_GB2312" w:hAnsi="楷体_GB2312" w:cs="楷体_GB2312" w:hint="eastAsia"/>
        </w:rPr>
        <w:t>第四章</w:t>
      </w:r>
      <w:r w:rsidRPr="00834725">
        <w:rPr>
          <w:rFonts w:ascii="楷体_GB2312" w:eastAsia="楷体_GB2312" w:hAnsi="楷体_GB2312" w:cs="楷体_GB2312"/>
        </w:rPr>
        <w:t xml:space="preserve">  </w:t>
      </w:r>
      <w:r w:rsidRPr="00834725">
        <w:rPr>
          <w:rFonts w:ascii="楷体_GB2312" w:eastAsia="楷体_GB2312" w:hAnsi="仿宋_GB2312" w:cs="楷体_GB2312" w:hint="eastAsia"/>
        </w:rPr>
        <w:t>定点医疗机构</w:t>
      </w:r>
      <w:r w:rsidRPr="00834725">
        <w:rPr>
          <w:rFonts w:ascii="楷体_GB2312" w:eastAsia="楷体_GB2312" w:hAnsi="仿宋_GB2312" w:cs="楷体_GB2312"/>
        </w:rPr>
        <w:t xml:space="preserve"> </w:t>
      </w:r>
    </w:p>
    <w:p w:rsidR="00CF2B6B" w:rsidRPr="00834725" w:rsidRDefault="00CF2B6B" w:rsidP="00834725">
      <w:pPr>
        <w:ind w:firstLine="640"/>
        <w:rPr>
          <w:rFonts w:ascii="楷体_GB2312" w:eastAsia="楷体_GB2312" w:hAnsi="仿宋_GB2312" w:cs="楷体_GB2312"/>
        </w:rPr>
      </w:pPr>
      <w:r w:rsidRPr="00834725">
        <w:rPr>
          <w:rFonts w:ascii="楷体_GB2312" w:eastAsia="楷体_GB2312" w:hAnsi="楷体_GB2312" w:cs="楷体_GB2312" w:hint="eastAsia"/>
        </w:rPr>
        <w:t>第七章</w:t>
      </w:r>
      <w:r w:rsidRPr="00834725">
        <w:rPr>
          <w:rFonts w:ascii="楷体_GB2312" w:eastAsia="楷体_GB2312" w:hAnsi="楷体_GB2312" w:cs="楷体_GB2312"/>
        </w:rPr>
        <w:t xml:space="preserve">  </w:t>
      </w:r>
      <w:r w:rsidRPr="00834725">
        <w:rPr>
          <w:rFonts w:ascii="楷体_GB2312" w:eastAsia="楷体_GB2312" w:hAnsi="仿宋_GB2312" w:cs="楷体_GB2312" w:hint="eastAsia"/>
        </w:rPr>
        <w:t>附</w:t>
      </w:r>
      <w:r w:rsidRPr="00834725">
        <w:rPr>
          <w:rFonts w:ascii="楷体_GB2312" w:eastAsia="楷体_GB2312" w:hAnsi="仿宋_GB2312" w:cs="楷体_GB2312"/>
        </w:rPr>
        <w:t xml:space="preserve"> </w:t>
      </w:r>
      <w:r w:rsidRPr="00834725">
        <w:rPr>
          <w:rFonts w:ascii="楷体_GB2312" w:eastAsia="楷体_GB2312" w:hAnsi="仿宋_GB2312" w:cs="楷体_GB2312" w:hint="eastAsia"/>
        </w:rPr>
        <w:t>则</w:t>
      </w:r>
      <w:r w:rsidRPr="00834725">
        <w:rPr>
          <w:rFonts w:ascii="楷体_GB2312" w:eastAsia="楷体_GB2312" w:hAnsi="仿宋_GB2312" w:cs="楷体_GB2312"/>
        </w:rPr>
        <w:t xml:space="preserve"> </w:t>
      </w:r>
    </w:p>
    <w:p w:rsidR="00CF2B6B" w:rsidRDefault="00CF2B6B" w:rsidP="00834725">
      <w:pPr>
        <w:ind w:firstLine="640"/>
        <w:rPr>
          <w:rFonts w:ascii="仿宋_GB2312" w:eastAsia="仿宋_GB2312" w:hAnsi="仿宋_GB2312"/>
        </w:rPr>
      </w:pPr>
    </w:p>
    <w:p w:rsidR="00CF2B6B" w:rsidRDefault="00CF2B6B" w:rsidP="00834725">
      <w:pPr>
        <w:jc w:val="center"/>
        <w:rPr>
          <w:rFonts w:ascii="黑体" w:eastAsia="黑体" w:hAnsi="黑体"/>
        </w:rPr>
      </w:pPr>
      <w:r>
        <w:rPr>
          <w:rFonts w:ascii="黑体" w:eastAsia="黑体" w:hAnsi="黑体" w:cs="黑体" w:hint="eastAsia"/>
        </w:rPr>
        <w:t>第一章</w:t>
      </w:r>
      <w:r>
        <w:rPr>
          <w:rFonts w:ascii="黑体" w:eastAsia="黑体" w:hAnsi="黑体" w:cs="黑体"/>
        </w:rPr>
        <w:t xml:space="preserve">  </w:t>
      </w:r>
      <w:r>
        <w:rPr>
          <w:rFonts w:ascii="黑体" w:eastAsia="黑体" w:hAnsi="黑体" w:cs="黑体" w:hint="eastAsia"/>
        </w:rPr>
        <w:t>总</w:t>
      </w:r>
      <w:r>
        <w:rPr>
          <w:rFonts w:ascii="黑体" w:eastAsia="黑体" w:hAnsi="黑体" w:cs="黑体"/>
        </w:rPr>
        <w:t xml:space="preserve"> </w:t>
      </w:r>
      <w:r>
        <w:rPr>
          <w:rFonts w:ascii="黑体" w:eastAsia="黑体" w:hAnsi="黑体" w:cs="黑体" w:hint="eastAsia"/>
        </w:rPr>
        <w:t>则</w:t>
      </w:r>
    </w:p>
    <w:p w:rsidR="00CF2B6B" w:rsidRDefault="00CF2B6B" w:rsidP="00834725">
      <w:pPr>
        <w:rPr>
          <w:rFonts w:ascii="楷体_GB2312" w:eastAsia="楷体_GB2312" w:hAnsi="楷体_GB2312"/>
        </w:rPr>
      </w:pP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第一条</w:t>
      </w:r>
      <w:r w:rsidRPr="00834725">
        <w:rPr>
          <w:rFonts w:ascii="仿宋_GB2312" w:eastAsia="仿宋_GB2312" w:hAnsi="黑体" w:cs="仿宋_GB2312"/>
        </w:rPr>
        <w:t xml:space="preserve">  </w:t>
      </w:r>
      <w:r w:rsidRPr="00834725">
        <w:rPr>
          <w:rFonts w:ascii="仿宋_GB2312" w:eastAsia="仿宋_GB2312" w:hAnsi="楷体_GB2312" w:cs="仿宋_GB2312" w:hint="eastAsia"/>
        </w:rPr>
        <w:t>为了加强新型农村合作医疗管理，保障农村居民享有基本医疗卫生服务，根据《中华人民共和国民族区域自治法》和有关法律法规的规定，结合自治县实际，制定本条例。</w:t>
      </w:r>
    </w:p>
    <w:p w:rsidR="00CF2B6B" w:rsidRPr="00834725" w:rsidRDefault="00CF2B6B" w:rsidP="00834725">
      <w:pPr>
        <w:spacing w:line="592" w:lineRule="exact"/>
        <w:ind w:firstLineChars="200" w:firstLine="31680"/>
        <w:rPr>
          <w:rFonts w:ascii="仿宋_GB2312" w:eastAsia="仿宋_GB2312" w:hAnsi="黑体"/>
        </w:rPr>
        <w:sectPr w:rsidR="00CF2B6B" w:rsidRPr="00834725">
          <w:footerReference w:type="default" r:id="rId7"/>
          <w:pgSz w:w="11906" w:h="16838"/>
          <w:pgMar w:top="2098" w:right="1474" w:bottom="1984" w:left="1587" w:header="851" w:footer="992" w:gutter="0"/>
          <w:cols w:space="720"/>
          <w:docGrid w:type="lines" w:linePitch="312"/>
        </w:sectPr>
      </w:pP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第二条</w:t>
      </w:r>
      <w:r w:rsidRPr="00834725">
        <w:rPr>
          <w:rFonts w:ascii="仿宋_GB2312" w:eastAsia="仿宋_GB2312" w:hAnsi="楷体_GB2312" w:cs="仿宋_GB2312"/>
        </w:rPr>
        <w:t xml:space="preserve">  </w:t>
      </w:r>
      <w:r w:rsidRPr="00834725">
        <w:rPr>
          <w:rFonts w:ascii="仿宋_GB2312" w:eastAsia="仿宋_GB2312" w:hAnsi="楷体_GB2312" w:cs="仿宋_GB2312" w:hint="eastAsia"/>
        </w:rPr>
        <w:t>自治县行政区域内的新型农村合作医疗，适用本条例。</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第三条</w:t>
      </w:r>
      <w:r w:rsidRPr="00834725">
        <w:rPr>
          <w:rFonts w:ascii="仿宋_GB2312" w:eastAsia="仿宋_GB2312" w:hAnsi="黑体" w:cs="仿宋_GB2312"/>
        </w:rPr>
        <w:t xml:space="preserve">  </w:t>
      </w:r>
      <w:r w:rsidRPr="00834725">
        <w:rPr>
          <w:rFonts w:ascii="仿宋_GB2312" w:eastAsia="仿宋_GB2312" w:hAnsi="楷体_GB2312" w:cs="仿宋_GB2312" w:hint="eastAsia"/>
        </w:rPr>
        <w:t>本条例所称新型农村合作医疗（以下简称新农合）是指由政府组织、引导和支持，农村居民自愿参加，以政府补助、个人缴费、集体扶持等方式筹集资金，实行门诊统筹与住院统筹相结合的农村居民基本医疗保障制度。</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第四条</w:t>
      </w:r>
      <w:r w:rsidRPr="00834725">
        <w:rPr>
          <w:rFonts w:ascii="仿宋_GB2312" w:eastAsia="仿宋_GB2312" w:hAnsi="黑体" w:cs="仿宋_GB2312"/>
        </w:rPr>
        <w:t xml:space="preserve">  </w:t>
      </w:r>
      <w:r w:rsidRPr="00834725">
        <w:rPr>
          <w:rFonts w:ascii="仿宋_GB2312" w:eastAsia="仿宋_GB2312" w:hAnsi="楷体_GB2312" w:cs="仿宋_GB2312" w:hint="eastAsia"/>
        </w:rPr>
        <w:t>自治县新农合工作坚持公开公正、公平享有、便民惠民的保障原则。</w:t>
      </w:r>
    </w:p>
    <w:p w:rsidR="00CF2B6B" w:rsidRPr="00834725" w:rsidRDefault="00CF2B6B" w:rsidP="00834725">
      <w:pPr>
        <w:spacing w:line="592" w:lineRule="exact"/>
        <w:ind w:firstLineChars="200" w:firstLine="31680"/>
        <w:rPr>
          <w:rFonts w:ascii="仿宋_GB2312" w:eastAsia="仿宋_GB2312" w:hAnsi="楷体_GB2312"/>
          <w:spacing w:val="-7"/>
        </w:rPr>
      </w:pPr>
      <w:r w:rsidRPr="00834725">
        <w:rPr>
          <w:rFonts w:ascii="黑体" w:eastAsia="黑体" w:hAnsi="黑体" w:cs="黑体" w:hint="eastAsia"/>
        </w:rPr>
        <w:t>第五条</w:t>
      </w:r>
      <w:r w:rsidRPr="00834725">
        <w:rPr>
          <w:rFonts w:ascii="仿宋_GB2312" w:eastAsia="仿宋_GB2312" w:hAnsi="黑体" w:cs="仿宋_GB2312"/>
          <w:spacing w:val="-7"/>
        </w:rPr>
        <w:t xml:space="preserve">  </w:t>
      </w:r>
      <w:r w:rsidRPr="00834725">
        <w:rPr>
          <w:rFonts w:ascii="仿宋_GB2312" w:eastAsia="仿宋_GB2312" w:hAnsi="楷体_GB2312" w:cs="仿宋_GB2312" w:hint="eastAsia"/>
          <w:spacing w:val="-7"/>
        </w:rPr>
        <w:t>自治县人民政府应当加强对新农合工作的领导，将其纳入国民经济社会发展规划和计划，政府补助所需经费列入财政预算。</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第六条</w:t>
      </w:r>
      <w:r w:rsidRPr="00834725">
        <w:rPr>
          <w:rFonts w:ascii="仿宋_GB2312" w:eastAsia="仿宋_GB2312" w:hAnsi="黑体" w:cs="仿宋_GB2312"/>
        </w:rPr>
        <w:t xml:space="preserve">  </w:t>
      </w:r>
      <w:r w:rsidRPr="00834725">
        <w:rPr>
          <w:rFonts w:ascii="仿宋_GB2312" w:eastAsia="仿宋_GB2312" w:hAnsi="楷体_GB2312" w:cs="仿宋_GB2312" w:hint="eastAsia"/>
        </w:rPr>
        <w:t>自治县人民政府应当成立由有关部门和参加新农合（以下简称参合）人员代表等组成的新农合工作协调监督机构，负责新农合的协调和监督工作。</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第七条</w:t>
      </w:r>
      <w:r w:rsidRPr="00834725">
        <w:rPr>
          <w:rFonts w:ascii="仿宋_GB2312" w:eastAsia="仿宋_GB2312" w:hAnsi="楷体_GB2312" w:cs="仿宋_GB2312"/>
        </w:rPr>
        <w:t xml:space="preserve">  </w:t>
      </w:r>
      <w:r w:rsidRPr="00834725">
        <w:rPr>
          <w:rFonts w:ascii="仿宋_GB2312" w:eastAsia="仿宋_GB2312" w:hAnsi="楷体_GB2312" w:cs="仿宋_GB2312" w:hint="eastAsia"/>
        </w:rPr>
        <w:t>自治县人民政府卫生计生行政主管部门负责新农合指导、管理、监督工作，其他行政主管部门依照各自职责做好新农合的相关工作。</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第八条</w:t>
      </w:r>
      <w:r w:rsidRPr="00834725">
        <w:rPr>
          <w:rFonts w:ascii="黑体" w:eastAsia="黑体" w:hAnsi="黑体" w:cs="黑体"/>
        </w:rPr>
        <w:t xml:space="preserve"> </w:t>
      </w:r>
      <w:r w:rsidRPr="00834725">
        <w:rPr>
          <w:rFonts w:ascii="仿宋_GB2312" w:eastAsia="仿宋_GB2312" w:hAnsi="楷体_GB2312" w:cs="仿宋_GB2312"/>
        </w:rPr>
        <w:t xml:space="preserve"> </w:t>
      </w:r>
      <w:r w:rsidRPr="00834725">
        <w:rPr>
          <w:rFonts w:ascii="仿宋_GB2312" w:eastAsia="仿宋_GB2312" w:hAnsi="楷体_GB2312" w:cs="仿宋_GB2312" w:hint="eastAsia"/>
        </w:rPr>
        <w:t>自治县人民政府卫生计生行政主管部门内设新农合经办机构，履行下列职责：</w:t>
      </w:r>
    </w:p>
    <w:p w:rsidR="00CF2B6B" w:rsidRPr="00834725" w:rsidRDefault="00CF2B6B" w:rsidP="00834725">
      <w:pPr>
        <w:spacing w:line="592" w:lineRule="exact"/>
        <w:ind w:firstLineChars="200" w:firstLine="31680"/>
        <w:rPr>
          <w:rFonts w:ascii="仿宋_GB2312" w:eastAsia="仿宋_GB2312" w:hAnsi="楷体_GB2312"/>
        </w:rPr>
      </w:pPr>
    </w:p>
    <w:p w:rsidR="00CF2B6B" w:rsidRPr="00834725" w:rsidRDefault="00CF2B6B" w:rsidP="00834725">
      <w:pPr>
        <w:spacing w:line="592" w:lineRule="exact"/>
        <w:ind w:firstLineChars="200" w:firstLine="31680"/>
        <w:rPr>
          <w:rFonts w:ascii="仿宋_GB2312" w:eastAsia="仿宋_GB2312" w:hAnsi="楷体_GB2312"/>
        </w:rPr>
        <w:sectPr w:rsidR="00CF2B6B" w:rsidRPr="00834725">
          <w:footerReference w:type="default" r:id="rId8"/>
          <w:pgSz w:w="11906" w:h="16838"/>
          <w:pgMar w:top="2098" w:right="1474" w:bottom="1984" w:left="1587" w:header="851" w:footer="992" w:gutter="0"/>
          <w:cols w:space="720"/>
          <w:docGrid w:type="lines" w:linePitch="312"/>
        </w:sectPr>
      </w:pP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（一）制定新农合工作的相关配套措施；</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（二）负责新农合基金的业务管理和核算；</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（三）监督管理定点医疗机构；</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（四）收集、整理、分析和通报有关新农合信息；</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（五）其他新农合相关工作。</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乡（镇）人民政府负责本辖区新农合的组织、筹资、宣传、审核和补偿工作。</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城镇居民委员会、农村村民委员会协助做好新农合相关工作。</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第九条</w:t>
      </w:r>
      <w:r w:rsidRPr="00834725">
        <w:rPr>
          <w:rFonts w:ascii="仿宋_GB2312" w:eastAsia="仿宋_GB2312" w:hAnsi="黑体" w:cs="仿宋_GB2312"/>
        </w:rPr>
        <w:t xml:space="preserve">  </w:t>
      </w:r>
      <w:r w:rsidRPr="00834725">
        <w:rPr>
          <w:rFonts w:ascii="仿宋_GB2312" w:eastAsia="仿宋_GB2312" w:hAnsi="楷体_GB2312" w:cs="仿宋_GB2312" w:hint="eastAsia"/>
        </w:rPr>
        <w:t>自治县人民政府及其有关部门应当对在新农合工作中做出显著成绩的单位和个人给予表彰和奖励。</w:t>
      </w:r>
    </w:p>
    <w:p w:rsidR="00CF2B6B" w:rsidRPr="00834725" w:rsidRDefault="00CF2B6B" w:rsidP="00834725">
      <w:pPr>
        <w:spacing w:line="592" w:lineRule="exact"/>
        <w:ind w:firstLineChars="200" w:firstLine="31680"/>
        <w:rPr>
          <w:rFonts w:ascii="仿宋_GB2312" w:eastAsia="仿宋_GB2312" w:hAnsi="楷体_GB2312"/>
        </w:rPr>
      </w:pPr>
    </w:p>
    <w:p w:rsidR="00CF2B6B" w:rsidRPr="00834725" w:rsidRDefault="00CF2B6B" w:rsidP="00834725">
      <w:pPr>
        <w:spacing w:line="592" w:lineRule="exact"/>
        <w:jc w:val="center"/>
        <w:rPr>
          <w:rFonts w:ascii="黑体" w:eastAsia="黑体" w:hAnsi="黑体"/>
        </w:rPr>
      </w:pPr>
      <w:r>
        <w:rPr>
          <w:rFonts w:ascii="黑体" w:eastAsia="黑体" w:hAnsi="黑体" w:cs="黑体" w:hint="eastAsia"/>
        </w:rPr>
        <w:t>第二章</w:t>
      </w:r>
      <w:r>
        <w:rPr>
          <w:rFonts w:ascii="黑体" w:eastAsia="黑体" w:hAnsi="黑体" w:cs="黑体"/>
        </w:rPr>
        <w:t xml:space="preserve">  </w:t>
      </w:r>
      <w:r w:rsidRPr="00834725">
        <w:rPr>
          <w:rFonts w:ascii="黑体" w:eastAsia="黑体" w:hAnsi="黑体" w:cs="黑体" w:hint="eastAsia"/>
        </w:rPr>
        <w:t>参合人员</w:t>
      </w:r>
    </w:p>
    <w:p w:rsidR="00CF2B6B" w:rsidRPr="00834725" w:rsidRDefault="00CF2B6B" w:rsidP="00834725">
      <w:pPr>
        <w:spacing w:line="592" w:lineRule="exact"/>
        <w:ind w:firstLineChars="200" w:firstLine="31680"/>
        <w:rPr>
          <w:rFonts w:ascii="黑体" w:eastAsia="黑体" w:hAnsi="黑体"/>
        </w:rPr>
      </w:pP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第十条</w:t>
      </w:r>
      <w:r w:rsidRPr="00834725">
        <w:rPr>
          <w:rFonts w:ascii="仿宋_GB2312" w:eastAsia="仿宋_GB2312" w:hAnsi="黑体" w:cs="仿宋_GB2312"/>
        </w:rPr>
        <w:t xml:space="preserve">  </w:t>
      </w:r>
      <w:r w:rsidRPr="00834725">
        <w:rPr>
          <w:rFonts w:ascii="仿宋_GB2312" w:eastAsia="仿宋_GB2312" w:hAnsi="楷体_GB2312" w:cs="仿宋_GB2312" w:hint="eastAsia"/>
        </w:rPr>
        <w:t>自治县内的农村居民，以户为单位自愿参加户籍所在地的新农合。</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回农村居住的大中专毕业生和复员退伍军人、农村居民转为非农村居民未参加或者停止参加城镇职工（居民）基本医疗保险的，可以自愿参合。</w:t>
      </w:r>
    </w:p>
    <w:p w:rsidR="00CF2B6B" w:rsidRPr="00834725" w:rsidRDefault="00CF2B6B" w:rsidP="00834725">
      <w:pPr>
        <w:spacing w:line="592" w:lineRule="exact"/>
        <w:ind w:firstLineChars="200" w:firstLine="31680"/>
        <w:rPr>
          <w:rFonts w:ascii="仿宋_GB2312" w:eastAsia="仿宋_GB2312" w:hAnsi="黑体"/>
          <w:spacing w:val="-7"/>
        </w:rPr>
      </w:pPr>
    </w:p>
    <w:p w:rsidR="00CF2B6B" w:rsidRPr="00834725" w:rsidRDefault="00CF2B6B" w:rsidP="00834725">
      <w:pPr>
        <w:spacing w:line="592" w:lineRule="exact"/>
        <w:ind w:firstLineChars="200" w:firstLine="31680"/>
        <w:rPr>
          <w:rFonts w:ascii="仿宋_GB2312" w:eastAsia="仿宋_GB2312" w:hAnsi="黑体"/>
          <w:spacing w:val="-7"/>
        </w:rPr>
        <w:sectPr w:rsidR="00CF2B6B" w:rsidRPr="00834725">
          <w:footerReference w:type="default" r:id="rId9"/>
          <w:pgSz w:w="11906" w:h="16838"/>
          <w:pgMar w:top="2098" w:right="1474" w:bottom="1984" w:left="1587" w:header="851" w:footer="992" w:gutter="0"/>
          <w:cols w:space="720"/>
          <w:docGrid w:type="lines" w:linePitch="312"/>
        </w:sectPr>
      </w:pPr>
    </w:p>
    <w:p w:rsidR="00CF2B6B" w:rsidRPr="00834725" w:rsidRDefault="00CF2B6B" w:rsidP="00834725">
      <w:pPr>
        <w:spacing w:line="592" w:lineRule="exact"/>
        <w:ind w:firstLineChars="200" w:firstLine="31680"/>
        <w:rPr>
          <w:rFonts w:ascii="仿宋_GB2312" w:eastAsia="仿宋_GB2312" w:hAnsi="楷体_GB2312"/>
          <w:spacing w:val="-7"/>
        </w:rPr>
      </w:pPr>
      <w:r w:rsidRPr="00834725">
        <w:rPr>
          <w:rFonts w:ascii="黑体" w:eastAsia="黑体" w:hAnsi="黑体" w:cs="黑体" w:hint="eastAsia"/>
        </w:rPr>
        <w:t>第十一条</w:t>
      </w:r>
      <w:r w:rsidRPr="00834725">
        <w:rPr>
          <w:rFonts w:ascii="仿宋_GB2312" w:eastAsia="仿宋_GB2312" w:hAnsi="黑体" w:cs="仿宋_GB2312"/>
          <w:spacing w:val="-7"/>
        </w:rPr>
        <w:t xml:space="preserve">  </w:t>
      </w:r>
      <w:r w:rsidRPr="00834725">
        <w:rPr>
          <w:rFonts w:ascii="仿宋_GB2312" w:eastAsia="仿宋_GB2312" w:hAnsi="楷体_GB2312" w:cs="仿宋_GB2312" w:hint="eastAsia"/>
          <w:spacing w:val="-7"/>
        </w:rPr>
        <w:t>已参加城镇职工（居民）基本医疗保险的，不得参合。</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已参合的农村居民参加城镇职工（居民）基本医疗保险的，应当退出新农合。</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第十二条</w:t>
      </w:r>
      <w:r w:rsidRPr="00834725">
        <w:rPr>
          <w:rFonts w:ascii="仿宋_GB2312" w:eastAsia="仿宋_GB2312" w:hAnsi="黑体" w:cs="仿宋_GB2312"/>
        </w:rPr>
        <w:t xml:space="preserve">  </w:t>
      </w:r>
      <w:r w:rsidRPr="00834725">
        <w:rPr>
          <w:rFonts w:ascii="仿宋_GB2312" w:eastAsia="仿宋_GB2312" w:hAnsi="楷体_GB2312" w:cs="仿宋_GB2312" w:hint="eastAsia"/>
        </w:rPr>
        <w:t>符合生育政策的已参合孕妇在缴纳参合金截止时间后至下年度缴费时间前分娩未参合的新生儿，因疾病住院发生的医疗费用，列入父母名下进行补偿。</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第十三条</w:t>
      </w:r>
      <w:r w:rsidRPr="00834725">
        <w:rPr>
          <w:rFonts w:ascii="仿宋_GB2312" w:eastAsia="仿宋_GB2312" w:hAnsi="黑体" w:cs="仿宋_GB2312"/>
        </w:rPr>
        <w:t xml:space="preserve">  </w:t>
      </w:r>
      <w:r w:rsidRPr="00834725">
        <w:rPr>
          <w:rFonts w:ascii="仿宋_GB2312" w:eastAsia="仿宋_GB2312" w:hAnsi="楷体_GB2312" w:cs="仿宋_GB2312" w:hint="eastAsia"/>
        </w:rPr>
        <w:t>参合人员按照规定每年缴纳一次参合资金，由新农合经办机构登记注册，实行缴费领证，持证就医，中途不予办理补缴手续。</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第十四条</w:t>
      </w:r>
      <w:r w:rsidRPr="00834725">
        <w:rPr>
          <w:rFonts w:ascii="仿宋_GB2312" w:eastAsia="仿宋_GB2312" w:hAnsi="黑体" w:cs="仿宋_GB2312"/>
        </w:rPr>
        <w:t xml:space="preserve">  </w:t>
      </w:r>
      <w:r w:rsidRPr="00834725">
        <w:rPr>
          <w:rFonts w:ascii="仿宋_GB2312" w:eastAsia="仿宋_GB2312" w:hAnsi="楷体_GB2312" w:cs="仿宋_GB2312" w:hint="eastAsia"/>
        </w:rPr>
        <w:t>参合人员享有下列权利：</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（一）享受规定的医药费用补偿；</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（二）查询、核对个人缴费以及获得补偿情况；</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（三）了解新农合基金的筹集与使用情况；</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（四）参与新农合监督管理；</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（五）法律、法规规定的其他权利。</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第十五条</w:t>
      </w:r>
      <w:r w:rsidRPr="00834725">
        <w:rPr>
          <w:rFonts w:ascii="仿宋_GB2312" w:eastAsia="仿宋_GB2312" w:hAnsi="黑体" w:cs="仿宋_GB2312"/>
        </w:rPr>
        <w:t xml:space="preserve">  </w:t>
      </w:r>
      <w:r w:rsidRPr="00834725">
        <w:rPr>
          <w:rFonts w:ascii="仿宋_GB2312" w:eastAsia="仿宋_GB2312" w:hAnsi="楷体_GB2312" w:cs="仿宋_GB2312" w:hint="eastAsia"/>
        </w:rPr>
        <w:t>参合人员履行下列义务：</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（一）按时足额缴纳个人参合资金；</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（二）遵守新农合政策规定和规章制度；</w:t>
      </w:r>
    </w:p>
    <w:p w:rsidR="00CF2B6B" w:rsidRPr="00834725" w:rsidRDefault="00CF2B6B" w:rsidP="00834725">
      <w:pPr>
        <w:spacing w:line="592" w:lineRule="exact"/>
        <w:ind w:firstLineChars="200" w:firstLine="31680"/>
        <w:rPr>
          <w:rFonts w:ascii="仿宋_GB2312" w:eastAsia="仿宋_GB2312" w:hAnsi="楷体_GB2312"/>
        </w:rPr>
      </w:pPr>
    </w:p>
    <w:p w:rsidR="00CF2B6B" w:rsidRPr="00834725" w:rsidRDefault="00CF2B6B" w:rsidP="00834725">
      <w:pPr>
        <w:spacing w:line="592" w:lineRule="exact"/>
        <w:ind w:firstLineChars="200" w:firstLine="31680"/>
        <w:rPr>
          <w:rFonts w:ascii="仿宋_GB2312" w:eastAsia="仿宋_GB2312" w:hAnsi="楷体_GB2312"/>
        </w:rPr>
        <w:sectPr w:rsidR="00CF2B6B" w:rsidRPr="00834725">
          <w:footerReference w:type="default" r:id="rId10"/>
          <w:pgSz w:w="11906" w:h="16838"/>
          <w:pgMar w:top="2098" w:right="1474" w:bottom="1984" w:left="1587" w:header="851" w:footer="992" w:gutter="0"/>
          <w:cols w:space="720"/>
          <w:docGrid w:type="lines" w:linePitch="312"/>
        </w:sectPr>
      </w:pP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（三）如实提供个人相关资料和信息；</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（四）法律、法规规定的其他义务。</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第十六条</w:t>
      </w:r>
      <w:r w:rsidRPr="00834725">
        <w:rPr>
          <w:rFonts w:ascii="仿宋_GB2312" w:eastAsia="仿宋_GB2312" w:hAnsi="楷体_GB2312" w:cs="仿宋_GB2312"/>
        </w:rPr>
        <w:t xml:space="preserve">  </w:t>
      </w:r>
      <w:r w:rsidRPr="00834725">
        <w:rPr>
          <w:rFonts w:ascii="仿宋_GB2312" w:eastAsia="仿宋_GB2312" w:hAnsi="楷体_GB2312" w:cs="仿宋_GB2312" w:hint="eastAsia"/>
        </w:rPr>
        <w:t>参合人员就医时需提供新农合证及相关身份证明，不得将新农合证出租、转借给他人，不得骗取、套取新农合门诊、住院医疗补偿等费用。</w:t>
      </w:r>
    </w:p>
    <w:p w:rsidR="00CF2B6B" w:rsidRPr="00834725" w:rsidRDefault="00CF2B6B" w:rsidP="00834725">
      <w:pPr>
        <w:spacing w:line="592" w:lineRule="exact"/>
        <w:ind w:firstLineChars="200" w:firstLine="31680"/>
        <w:rPr>
          <w:rFonts w:ascii="仿宋_GB2312" w:eastAsia="仿宋_GB2312" w:hAnsi="楷体_GB2312"/>
        </w:rPr>
      </w:pPr>
    </w:p>
    <w:p w:rsidR="00CF2B6B" w:rsidRPr="00834725" w:rsidRDefault="00CF2B6B" w:rsidP="00834725">
      <w:pPr>
        <w:spacing w:line="592" w:lineRule="exact"/>
        <w:jc w:val="center"/>
        <w:rPr>
          <w:rFonts w:ascii="黑体" w:eastAsia="黑体" w:hAnsi="黑体"/>
        </w:rPr>
      </w:pPr>
      <w:r w:rsidRPr="00834725">
        <w:rPr>
          <w:rFonts w:ascii="黑体" w:eastAsia="黑体" w:hAnsi="黑体" w:cs="黑体" w:hint="eastAsia"/>
        </w:rPr>
        <w:t>第三章</w:t>
      </w:r>
      <w:r w:rsidRPr="00834725">
        <w:rPr>
          <w:rFonts w:ascii="黑体" w:eastAsia="黑体" w:hAnsi="黑体" w:cs="黑体"/>
        </w:rPr>
        <w:t xml:space="preserve">   </w:t>
      </w:r>
      <w:r w:rsidRPr="00834725">
        <w:rPr>
          <w:rFonts w:ascii="黑体" w:eastAsia="黑体" w:hAnsi="黑体" w:cs="黑体" w:hint="eastAsia"/>
        </w:rPr>
        <w:t>基金筹集与管理</w:t>
      </w:r>
    </w:p>
    <w:p w:rsidR="00CF2B6B" w:rsidRPr="00834725" w:rsidRDefault="00CF2B6B" w:rsidP="00834725">
      <w:pPr>
        <w:spacing w:line="592" w:lineRule="exact"/>
        <w:ind w:firstLineChars="200" w:firstLine="31680"/>
        <w:rPr>
          <w:rFonts w:ascii="黑体" w:eastAsia="黑体" w:hAnsi="黑体"/>
        </w:rPr>
      </w:pP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第十七条</w:t>
      </w:r>
      <w:r w:rsidRPr="00834725">
        <w:rPr>
          <w:rFonts w:ascii="仿宋_GB2312" w:eastAsia="仿宋_GB2312" w:hAnsi="黑体" w:cs="仿宋_GB2312"/>
        </w:rPr>
        <w:t xml:space="preserve">  </w:t>
      </w:r>
      <w:r w:rsidRPr="00834725">
        <w:rPr>
          <w:rFonts w:ascii="仿宋_GB2312" w:eastAsia="仿宋_GB2312" w:hAnsi="楷体_GB2312" w:cs="仿宋_GB2312" w:hint="eastAsia"/>
        </w:rPr>
        <w:t>自治县人民政府应当制定相应政策，依法多渠道筹集新农合资金，加大对新农合资金的投入；建立新农合基金专户，加强基金管理，实行专款专用，任何单位和个人不得侵占、挪用和截留。</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第十八条</w:t>
      </w:r>
      <w:r w:rsidRPr="00834725">
        <w:rPr>
          <w:rFonts w:ascii="仿宋_GB2312" w:eastAsia="仿宋_GB2312" w:hAnsi="黑体" w:cs="仿宋_GB2312"/>
        </w:rPr>
        <w:t xml:space="preserve">  </w:t>
      </w:r>
      <w:r w:rsidRPr="00834725">
        <w:rPr>
          <w:rFonts w:ascii="仿宋_GB2312" w:eastAsia="仿宋_GB2312" w:hAnsi="楷体_GB2312" w:cs="仿宋_GB2312" w:hint="eastAsia"/>
        </w:rPr>
        <w:t>新农合基金来源：</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（一）政府补助资金；</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（二）参合人员个人缴费；</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（三）农村集体经济组织扶持资金；</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（四）社会捐赠资金；</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（五）利息收入；</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（六）其他。</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第十九条</w:t>
      </w:r>
      <w:r>
        <w:rPr>
          <w:rFonts w:ascii="黑体" w:eastAsia="黑体" w:hAnsi="黑体" w:cs="黑体"/>
        </w:rPr>
        <w:t xml:space="preserve"> </w:t>
      </w:r>
      <w:r w:rsidRPr="00834725">
        <w:rPr>
          <w:rFonts w:ascii="仿宋_GB2312" w:eastAsia="仿宋_GB2312" w:hAnsi="楷体_GB2312" w:cs="仿宋_GB2312"/>
        </w:rPr>
        <w:t xml:space="preserve"> </w:t>
      </w:r>
      <w:r w:rsidRPr="00834725">
        <w:rPr>
          <w:rFonts w:ascii="仿宋_GB2312" w:eastAsia="仿宋_GB2312" w:hAnsi="楷体_GB2312" w:cs="仿宋_GB2312" w:hint="eastAsia"/>
        </w:rPr>
        <w:t>新农合基金由自治县人民政府组织筹集。每年</w:t>
      </w:r>
      <w:r w:rsidRPr="00834725">
        <w:rPr>
          <w:rFonts w:ascii="仿宋_GB2312" w:eastAsia="仿宋_GB2312" w:hAnsi="楷体_GB2312" w:cs="仿宋_GB2312"/>
        </w:rPr>
        <w:t>6</w:t>
      </w:r>
      <w:r w:rsidRPr="00834725">
        <w:rPr>
          <w:rFonts w:ascii="仿宋_GB2312" w:eastAsia="仿宋_GB2312" w:hAnsi="楷体_GB2312" w:cs="仿宋_GB2312" w:hint="eastAsia"/>
        </w:rPr>
        <w:t>月</w:t>
      </w:r>
      <w:r w:rsidRPr="00834725">
        <w:rPr>
          <w:rFonts w:ascii="仿宋_GB2312" w:eastAsia="仿宋_GB2312" w:hAnsi="楷体_GB2312" w:cs="仿宋_GB2312"/>
        </w:rPr>
        <w:t>1</w:t>
      </w:r>
      <w:r w:rsidRPr="00834725">
        <w:rPr>
          <w:rFonts w:ascii="仿宋_GB2312" w:eastAsia="仿宋_GB2312" w:hAnsi="楷体_GB2312" w:cs="仿宋_GB2312" w:hint="eastAsia"/>
        </w:rPr>
        <w:t>日前，由卫生计生行政主管部门会同财政主管部门提出下一年度筹资方案，报自治县人民政府批准后组织实施。</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第二十条</w:t>
      </w:r>
      <w:r>
        <w:rPr>
          <w:rFonts w:ascii="黑体" w:eastAsia="黑体" w:hAnsi="黑体" w:cs="黑体"/>
        </w:rPr>
        <w:t xml:space="preserve"> </w:t>
      </w:r>
      <w:r w:rsidRPr="00834725">
        <w:rPr>
          <w:rFonts w:ascii="仿宋_GB2312" w:eastAsia="仿宋_GB2312" w:hAnsi="楷体_GB2312" w:cs="仿宋_GB2312"/>
        </w:rPr>
        <w:t xml:space="preserve"> </w:t>
      </w:r>
      <w:r w:rsidRPr="00834725">
        <w:rPr>
          <w:rFonts w:ascii="仿宋_GB2312" w:eastAsia="仿宋_GB2312" w:hAnsi="楷体_GB2312" w:cs="仿宋_GB2312" w:hint="eastAsia"/>
        </w:rPr>
        <w:t>参合人员在户籍所在地或者居住地缴费，具体缴费时间、金额、方式由自治县人民政府确定并公布。</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筹集到的新农合资金应当按照规定及时转入新农合基金专户。</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第二十一条</w:t>
      </w:r>
      <w:r>
        <w:rPr>
          <w:rFonts w:ascii="黑体" w:eastAsia="黑体" w:hAnsi="黑体" w:cs="黑体"/>
        </w:rPr>
        <w:t xml:space="preserve"> </w:t>
      </w:r>
      <w:r w:rsidRPr="00834725">
        <w:rPr>
          <w:rFonts w:ascii="仿宋_GB2312" w:eastAsia="仿宋_GB2312" w:hAnsi="楷体_GB2312" w:cs="仿宋_GB2312"/>
        </w:rPr>
        <w:t xml:space="preserve"> </w:t>
      </w:r>
      <w:r w:rsidRPr="00834725">
        <w:rPr>
          <w:rFonts w:ascii="仿宋_GB2312" w:eastAsia="仿宋_GB2312" w:hAnsi="楷体_GB2312" w:cs="仿宋_GB2312" w:hint="eastAsia"/>
        </w:rPr>
        <w:t>农村特困家庭、五保供养人员、重点优扶对象等特殊参合人员个人缴费由自治县人民政府按照有关规定给予补助。</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第二十二条</w:t>
      </w:r>
      <w:r w:rsidRPr="00834725">
        <w:rPr>
          <w:rFonts w:ascii="仿宋_GB2312" w:eastAsia="仿宋_GB2312" w:hAnsi="楷体_GB2312" w:cs="仿宋_GB2312"/>
        </w:rPr>
        <w:t xml:space="preserve"> </w:t>
      </w:r>
      <w:r>
        <w:rPr>
          <w:rFonts w:ascii="仿宋_GB2312" w:eastAsia="仿宋_GB2312" w:hAnsi="楷体_GB2312" w:cs="仿宋_GB2312"/>
        </w:rPr>
        <w:t xml:space="preserve"> </w:t>
      </w:r>
      <w:r w:rsidRPr="00834725">
        <w:rPr>
          <w:rFonts w:ascii="仿宋_GB2312" w:eastAsia="仿宋_GB2312" w:hAnsi="楷体_GB2312" w:cs="仿宋_GB2312" w:hint="eastAsia"/>
        </w:rPr>
        <w:t>新农合基金的使用遵循以收定支、收支平衡、保障适度、略有结余的原则。</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新农合基金当年结余率、累计结余率应当控制在规定的范围内。</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第二十三条</w:t>
      </w:r>
      <w:r w:rsidRPr="00834725">
        <w:rPr>
          <w:rFonts w:ascii="仿宋_GB2312" w:eastAsia="仿宋_GB2312" w:hAnsi="楷体_GB2312" w:cs="仿宋_GB2312"/>
        </w:rPr>
        <w:t xml:space="preserve"> </w:t>
      </w:r>
      <w:r>
        <w:rPr>
          <w:rFonts w:ascii="仿宋_GB2312" w:eastAsia="仿宋_GB2312" w:hAnsi="楷体_GB2312" w:cs="仿宋_GB2312"/>
        </w:rPr>
        <w:t xml:space="preserve"> </w:t>
      </w:r>
      <w:r w:rsidRPr="00834725">
        <w:rPr>
          <w:rFonts w:ascii="仿宋_GB2312" w:eastAsia="仿宋_GB2312" w:hAnsi="楷体_GB2312" w:cs="仿宋_GB2312" w:hint="eastAsia"/>
        </w:rPr>
        <w:t>新农合年度补偿方案，由卫生计生行政主管部门按有关规定制定，报自治县人民政府批准后实施。</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第二十四条</w:t>
      </w:r>
      <w:r w:rsidRPr="00834725">
        <w:rPr>
          <w:rFonts w:ascii="仿宋_GB2312" w:eastAsia="仿宋_GB2312" w:hAnsi="楷体_GB2312" w:cs="仿宋_GB2312"/>
        </w:rPr>
        <w:t xml:space="preserve"> </w:t>
      </w:r>
      <w:r>
        <w:rPr>
          <w:rFonts w:ascii="仿宋_GB2312" w:eastAsia="仿宋_GB2312" w:hAnsi="楷体_GB2312" w:cs="仿宋_GB2312"/>
        </w:rPr>
        <w:t xml:space="preserve"> </w:t>
      </w:r>
      <w:r w:rsidRPr="00834725">
        <w:rPr>
          <w:rFonts w:ascii="仿宋_GB2312" w:eastAsia="仿宋_GB2312" w:hAnsi="楷体_GB2312" w:cs="仿宋_GB2312" w:hint="eastAsia"/>
        </w:rPr>
        <w:t>门诊、住院补偿比例、最高限额，慢性病和特殊病种补偿范围及补偿比例，由自治县人民政府根据筹资情况确定后向社会公布，并根据国家、省、市相关政策适时调整。</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第二十五条</w:t>
      </w:r>
      <w:r w:rsidRPr="00834725">
        <w:rPr>
          <w:rFonts w:ascii="仿宋_GB2312" w:eastAsia="仿宋_GB2312" w:hAnsi="楷体_GB2312" w:cs="仿宋_GB2312"/>
        </w:rPr>
        <w:t xml:space="preserve"> </w:t>
      </w:r>
      <w:r>
        <w:rPr>
          <w:rFonts w:ascii="仿宋_GB2312" w:eastAsia="仿宋_GB2312" w:hAnsi="楷体_GB2312" w:cs="仿宋_GB2312"/>
        </w:rPr>
        <w:t xml:space="preserve"> </w:t>
      </w:r>
      <w:r w:rsidRPr="00834725">
        <w:rPr>
          <w:rFonts w:ascii="仿宋_GB2312" w:eastAsia="仿宋_GB2312" w:hAnsi="楷体_GB2312" w:cs="仿宋_GB2312" w:hint="eastAsia"/>
        </w:rPr>
        <w:t>新农合参合人员住院医疗费用起付线的具体标准，由卫生计生行政主管部门根据当年新农合基金运行情况提出方案，报自治县人民政府批准。</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第二十六条</w:t>
      </w:r>
      <w:r>
        <w:rPr>
          <w:rFonts w:ascii="黑体" w:eastAsia="黑体" w:hAnsi="黑体" w:cs="黑体"/>
        </w:rPr>
        <w:t xml:space="preserve"> </w:t>
      </w:r>
      <w:r w:rsidRPr="00834725">
        <w:rPr>
          <w:rFonts w:ascii="仿宋_GB2312" w:eastAsia="仿宋_GB2312" w:hAnsi="楷体_GB2312" w:cs="仿宋_GB2312"/>
        </w:rPr>
        <w:t xml:space="preserve"> </w:t>
      </w:r>
      <w:r w:rsidRPr="00834725">
        <w:rPr>
          <w:rFonts w:ascii="仿宋_GB2312" w:eastAsia="仿宋_GB2312" w:hAnsi="楷体_GB2312" w:cs="仿宋_GB2312" w:hint="eastAsia"/>
        </w:rPr>
        <w:t>参合人员凭新农合证及相关身份证明，在自治县内可以自主选择新农合定点医疗机构就诊，并享受新农合补偿。</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第二十七条</w:t>
      </w:r>
      <w:r>
        <w:rPr>
          <w:rFonts w:ascii="黑体" w:eastAsia="黑体" w:hAnsi="黑体" w:cs="黑体"/>
        </w:rPr>
        <w:t xml:space="preserve"> </w:t>
      </w:r>
      <w:r w:rsidRPr="00834725">
        <w:rPr>
          <w:rFonts w:ascii="仿宋_GB2312" w:eastAsia="仿宋_GB2312" w:hAnsi="楷体_GB2312" w:cs="仿宋_GB2312"/>
        </w:rPr>
        <w:t xml:space="preserve"> </w:t>
      </w:r>
      <w:r w:rsidRPr="00834725">
        <w:rPr>
          <w:rFonts w:ascii="仿宋_GB2312" w:eastAsia="仿宋_GB2312" w:hAnsi="楷体_GB2312" w:cs="仿宋_GB2312" w:hint="eastAsia"/>
        </w:rPr>
        <w:t>因病情需要到自治县外就医的，实行转诊制度。转诊制度由自治县人民政府根据实际情况制定后向社会公布。</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县外就医报销截止时间为次年</w:t>
      </w:r>
      <w:r w:rsidRPr="00834725">
        <w:rPr>
          <w:rFonts w:ascii="仿宋_GB2312" w:eastAsia="仿宋_GB2312" w:hAnsi="楷体_GB2312" w:cs="仿宋_GB2312"/>
        </w:rPr>
        <w:t>3</w:t>
      </w:r>
      <w:r w:rsidRPr="00834725">
        <w:rPr>
          <w:rFonts w:ascii="仿宋_GB2312" w:eastAsia="仿宋_GB2312" w:hAnsi="楷体_GB2312" w:cs="仿宋_GB2312" w:hint="eastAsia"/>
        </w:rPr>
        <w:t>月</w:t>
      </w:r>
      <w:r w:rsidRPr="00834725">
        <w:rPr>
          <w:rFonts w:ascii="仿宋_GB2312" w:eastAsia="仿宋_GB2312" w:hAnsi="楷体_GB2312" w:cs="仿宋_GB2312"/>
        </w:rPr>
        <w:t>31</w:t>
      </w:r>
      <w:r w:rsidRPr="00834725">
        <w:rPr>
          <w:rFonts w:ascii="仿宋_GB2312" w:eastAsia="仿宋_GB2312" w:hAnsi="楷体_GB2312" w:cs="仿宋_GB2312" w:hint="eastAsia"/>
        </w:rPr>
        <w:t>日。</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第二十八条</w:t>
      </w:r>
      <w:r w:rsidRPr="00834725">
        <w:rPr>
          <w:rFonts w:ascii="仿宋_GB2312" w:eastAsia="仿宋_GB2312" w:hAnsi="楷体_GB2312" w:cs="仿宋_GB2312"/>
        </w:rPr>
        <w:t xml:space="preserve"> </w:t>
      </w:r>
      <w:r>
        <w:rPr>
          <w:rFonts w:ascii="仿宋_GB2312" w:eastAsia="仿宋_GB2312" w:hAnsi="楷体_GB2312" w:cs="仿宋_GB2312"/>
        </w:rPr>
        <w:t xml:space="preserve"> </w:t>
      </w:r>
      <w:r w:rsidRPr="00834725">
        <w:rPr>
          <w:rFonts w:ascii="仿宋_GB2312" w:eastAsia="仿宋_GB2312" w:hAnsi="楷体_GB2312" w:cs="仿宋_GB2312" w:hint="eastAsia"/>
        </w:rPr>
        <w:t>参合人员在自治县新农合定点医疗机构就医，结账时只支付自负部分，其余费用由定点医疗机构先行垫付。</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第二十九条</w:t>
      </w:r>
      <w:r>
        <w:rPr>
          <w:rFonts w:ascii="黑体" w:eastAsia="黑体" w:hAnsi="黑体" w:cs="黑体"/>
        </w:rPr>
        <w:t xml:space="preserve"> </w:t>
      </w:r>
      <w:r w:rsidRPr="00834725">
        <w:rPr>
          <w:rFonts w:ascii="仿宋_GB2312" w:eastAsia="仿宋_GB2312" w:hAnsi="楷体_GB2312" w:cs="仿宋_GB2312"/>
        </w:rPr>
        <w:t xml:space="preserve"> </w:t>
      </w:r>
      <w:r w:rsidRPr="00834725">
        <w:rPr>
          <w:rFonts w:ascii="仿宋_GB2312" w:eastAsia="仿宋_GB2312" w:hAnsi="楷体_GB2312" w:cs="仿宋_GB2312" w:hint="eastAsia"/>
        </w:rPr>
        <w:t>参合人员因意外伤害事故发生的医疗费用，无责任人的，由新农合基金按照标准支付；有责任人的，应当由责任人给予赔偿，赔偿达不到总医疗费用的，剩余部分按照新农合有关规定给予补偿。</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既参加新农合又参加商业保险的参合人员，住院的医疗费用先由保险公司赔付后，凭保险公司的赔付原件、住院发票及相关住院材料复印件到新农合经办机构申请补偿，新农合经办机构按照相关规定给予补偿。</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第三十条</w:t>
      </w:r>
      <w:r w:rsidRPr="00834725">
        <w:rPr>
          <w:rFonts w:ascii="仿宋_GB2312" w:eastAsia="仿宋_GB2312" w:hAnsi="楷体_GB2312" w:cs="仿宋_GB2312"/>
        </w:rPr>
        <w:t xml:space="preserve"> </w:t>
      </w:r>
      <w:r>
        <w:rPr>
          <w:rFonts w:ascii="仿宋_GB2312" w:eastAsia="仿宋_GB2312" w:hAnsi="楷体_GB2312" w:cs="仿宋_GB2312"/>
        </w:rPr>
        <w:t xml:space="preserve"> </w:t>
      </w:r>
      <w:r w:rsidRPr="00834725">
        <w:rPr>
          <w:rFonts w:ascii="仿宋_GB2312" w:eastAsia="仿宋_GB2312" w:hAnsi="楷体_GB2312" w:cs="仿宋_GB2312" w:hint="eastAsia"/>
        </w:rPr>
        <w:t>有下列情形之一的，医疗费用不予补偿：</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（一）所使用的药品或者诊疗项目未列入新农合补偿规定范围内的；</w:t>
      </w:r>
    </w:p>
    <w:p w:rsidR="00CF2B6B" w:rsidRPr="00834725" w:rsidRDefault="00CF2B6B" w:rsidP="00834725">
      <w:pPr>
        <w:spacing w:line="592" w:lineRule="exact"/>
        <w:ind w:firstLineChars="200" w:firstLine="31680"/>
        <w:rPr>
          <w:rFonts w:ascii="仿宋_GB2312" w:eastAsia="仿宋_GB2312" w:hAnsi="楷体_GB2312"/>
        </w:rPr>
      </w:pP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（二）已享受工伤、生育保险及其他医疗补偿的；</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（三）因违法行为造成自身伤害、非基本医疗项目、非医疗性服务项目所产生的费用；</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（四）国家和省规定不予补偿的其他情形。</w:t>
      </w:r>
    </w:p>
    <w:p w:rsidR="00CF2B6B" w:rsidRDefault="00CF2B6B" w:rsidP="00834725">
      <w:pPr>
        <w:spacing w:line="592" w:lineRule="exact"/>
        <w:jc w:val="center"/>
        <w:rPr>
          <w:rFonts w:ascii="黑体" w:eastAsia="黑体" w:hAnsi="黑体"/>
        </w:rPr>
      </w:pPr>
    </w:p>
    <w:p w:rsidR="00CF2B6B" w:rsidRPr="00834725" w:rsidRDefault="00CF2B6B" w:rsidP="00834725">
      <w:pPr>
        <w:spacing w:line="592" w:lineRule="exact"/>
        <w:jc w:val="center"/>
        <w:rPr>
          <w:rFonts w:ascii="黑体" w:eastAsia="黑体" w:hAnsi="黑体"/>
        </w:rPr>
      </w:pPr>
      <w:r w:rsidRPr="00834725">
        <w:rPr>
          <w:rFonts w:ascii="黑体" w:eastAsia="黑体" w:hAnsi="黑体" w:cs="黑体" w:hint="eastAsia"/>
        </w:rPr>
        <w:t>第四章</w:t>
      </w:r>
      <w:r>
        <w:rPr>
          <w:rFonts w:ascii="黑体" w:eastAsia="黑体" w:hAnsi="黑体" w:cs="黑体"/>
        </w:rPr>
        <w:t xml:space="preserve">  </w:t>
      </w:r>
      <w:r w:rsidRPr="00834725">
        <w:rPr>
          <w:rFonts w:ascii="黑体" w:eastAsia="黑体" w:hAnsi="黑体" w:cs="黑体" w:hint="eastAsia"/>
        </w:rPr>
        <w:t>定点医疗机构</w:t>
      </w:r>
    </w:p>
    <w:p w:rsidR="00CF2B6B" w:rsidRPr="00834725" w:rsidRDefault="00CF2B6B" w:rsidP="00834725">
      <w:pPr>
        <w:spacing w:line="592" w:lineRule="exact"/>
        <w:ind w:firstLineChars="200" w:firstLine="31680"/>
        <w:rPr>
          <w:rFonts w:ascii="黑体" w:eastAsia="黑体" w:hAnsi="黑体"/>
        </w:rPr>
      </w:pP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第三十一条</w:t>
      </w:r>
      <w:r w:rsidRPr="00834725">
        <w:rPr>
          <w:rFonts w:ascii="仿宋_GB2312" w:eastAsia="仿宋_GB2312" w:hAnsi="楷体_GB2312" w:cs="仿宋_GB2312"/>
        </w:rPr>
        <w:t xml:space="preserve"> </w:t>
      </w:r>
      <w:r w:rsidRPr="00834725">
        <w:rPr>
          <w:rFonts w:ascii="仿宋_GB2312" w:eastAsia="仿宋_GB2312" w:hAnsi="楷体_GB2312" w:cs="仿宋_GB2312" w:hint="eastAsia"/>
        </w:rPr>
        <w:t>新农合经办机构按照方便就医、功能合理、技术适宜、公平竞争的原则，确定新农合定点医疗机构，并适时向社会公布定点医疗机构名单。</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第三十二条</w:t>
      </w:r>
      <w:r>
        <w:rPr>
          <w:rFonts w:ascii="黑体" w:eastAsia="黑体" w:hAnsi="黑体" w:cs="黑体"/>
        </w:rPr>
        <w:t xml:space="preserve"> </w:t>
      </w:r>
      <w:r w:rsidRPr="00834725">
        <w:rPr>
          <w:rFonts w:ascii="仿宋_GB2312" w:eastAsia="仿宋_GB2312" w:hAnsi="楷体_GB2312" w:cs="仿宋_GB2312"/>
        </w:rPr>
        <w:t xml:space="preserve"> </w:t>
      </w:r>
      <w:r w:rsidRPr="00834725">
        <w:rPr>
          <w:rFonts w:ascii="仿宋_GB2312" w:eastAsia="仿宋_GB2312" w:hAnsi="楷体_GB2312" w:cs="仿宋_GB2312" w:hint="eastAsia"/>
        </w:rPr>
        <w:t>符合下列条件的医疗机构，可以向新农合经办机构提出申请，经审查合格后按程序批准为新农合定点医疗机构，报市卫生计生行政主管部门备案，并向社会公告：</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（一）依法取得《医疗机构执业许可证》且营业时间满一周年；</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（二）遵守新农合政策和规章制度；</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（三）从业人员具备执业资格；</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（四）医疗设施、技术服务符合医疗规范标准；</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（五）医疗服务收费符合有关规定；</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（六）管理制度与新农合相适应。</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第三十三条</w:t>
      </w:r>
      <w:r w:rsidRPr="00834725">
        <w:rPr>
          <w:rFonts w:ascii="仿宋_GB2312" w:eastAsia="仿宋_GB2312" w:hAnsi="楷体_GB2312" w:cs="仿宋_GB2312"/>
        </w:rPr>
        <w:t xml:space="preserve"> </w:t>
      </w:r>
      <w:r>
        <w:rPr>
          <w:rFonts w:ascii="仿宋_GB2312" w:eastAsia="仿宋_GB2312" w:hAnsi="楷体_GB2312" w:cs="仿宋_GB2312"/>
        </w:rPr>
        <w:t xml:space="preserve"> </w:t>
      </w:r>
      <w:r w:rsidRPr="00834725">
        <w:rPr>
          <w:rFonts w:ascii="仿宋_GB2312" w:eastAsia="仿宋_GB2312" w:hAnsi="楷体_GB2312" w:cs="仿宋_GB2312" w:hint="eastAsia"/>
        </w:rPr>
        <w:t>卫生计生行政主管部门应当与新农合定点医疗机构签订医疗服务协议，实行协议管理。</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第三十四条</w:t>
      </w:r>
      <w:r w:rsidRPr="00834725">
        <w:rPr>
          <w:rFonts w:ascii="仿宋_GB2312" w:eastAsia="仿宋_GB2312" w:hAnsi="楷体_GB2312" w:cs="仿宋_GB2312"/>
        </w:rPr>
        <w:t xml:space="preserve"> </w:t>
      </w:r>
      <w:r>
        <w:rPr>
          <w:rFonts w:ascii="仿宋_GB2312" w:eastAsia="仿宋_GB2312" w:hAnsi="楷体_GB2312" w:cs="仿宋_GB2312"/>
        </w:rPr>
        <w:t xml:space="preserve"> </w:t>
      </w:r>
      <w:r w:rsidRPr="00834725">
        <w:rPr>
          <w:rFonts w:ascii="仿宋_GB2312" w:eastAsia="仿宋_GB2312" w:hAnsi="楷体_GB2312" w:cs="仿宋_GB2312" w:hint="eastAsia"/>
        </w:rPr>
        <w:t>新农合定点医疗机构应当严格执行临床技术操作规范，按照有关规定控制医疗费用。</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定点医疗机构在患者就诊时需核实新农合证及相关身份证明，并录入就医档案。</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第三十五条</w:t>
      </w:r>
      <w:r w:rsidRPr="00834725">
        <w:rPr>
          <w:rFonts w:ascii="仿宋_GB2312" w:eastAsia="仿宋_GB2312" w:hAnsi="楷体_GB2312" w:cs="仿宋_GB2312"/>
        </w:rPr>
        <w:t xml:space="preserve"> </w:t>
      </w:r>
      <w:r>
        <w:rPr>
          <w:rFonts w:ascii="仿宋_GB2312" w:eastAsia="仿宋_GB2312" w:hAnsi="楷体_GB2312" w:cs="仿宋_GB2312"/>
        </w:rPr>
        <w:t xml:space="preserve"> </w:t>
      </w:r>
      <w:r w:rsidRPr="00834725">
        <w:rPr>
          <w:rFonts w:ascii="仿宋_GB2312" w:eastAsia="仿宋_GB2312" w:hAnsi="楷体_GB2312" w:cs="仿宋_GB2312" w:hint="eastAsia"/>
        </w:rPr>
        <w:t>新农合定点医疗机构应当在明显位置设置公示栏，宣传新农合政策，公布就诊及报销流程，公示新农合用药目录、诊疗项目及价格等。</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第三十六条</w:t>
      </w:r>
      <w:r>
        <w:rPr>
          <w:rFonts w:ascii="黑体" w:eastAsia="黑体" w:hAnsi="黑体" w:cs="黑体"/>
        </w:rPr>
        <w:t xml:space="preserve"> </w:t>
      </w:r>
      <w:r w:rsidRPr="00834725">
        <w:rPr>
          <w:rFonts w:ascii="仿宋_GB2312" w:eastAsia="仿宋_GB2312" w:hAnsi="楷体_GB2312" w:cs="仿宋_GB2312"/>
        </w:rPr>
        <w:t xml:space="preserve"> </w:t>
      </w:r>
      <w:r w:rsidRPr="00834725">
        <w:rPr>
          <w:rFonts w:ascii="仿宋_GB2312" w:eastAsia="仿宋_GB2312" w:hAnsi="楷体_GB2312" w:cs="仿宋_GB2312" w:hint="eastAsia"/>
        </w:rPr>
        <w:t>新农合定点医疗机构应当提供审核医疗费用所需的结算资料，上报相关医疗服务信息，解答参合人员咨询。</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第三十七条</w:t>
      </w:r>
      <w:r w:rsidRPr="00834725">
        <w:rPr>
          <w:rFonts w:ascii="仿宋_GB2312" w:eastAsia="仿宋_GB2312" w:hAnsi="楷体_GB2312" w:cs="仿宋_GB2312"/>
        </w:rPr>
        <w:t xml:space="preserve"> </w:t>
      </w:r>
      <w:r w:rsidRPr="00834725">
        <w:rPr>
          <w:rFonts w:ascii="仿宋_GB2312" w:eastAsia="仿宋_GB2312" w:hAnsi="楷体_GB2312" w:cs="仿宋_GB2312" w:hint="eastAsia"/>
        </w:rPr>
        <w:t>新农合定点医疗机构的法定代表人、执业地点、机构名称等内容发生变更时，应当按照新农合定点医疗机构申办程序办理审核报批的有关手续并备案。未经批准的，不得开展新农合相关业务。</w:t>
      </w:r>
    </w:p>
    <w:p w:rsidR="00CF2B6B" w:rsidRPr="00834725" w:rsidRDefault="00CF2B6B" w:rsidP="00834725">
      <w:pPr>
        <w:spacing w:line="592" w:lineRule="exact"/>
        <w:ind w:firstLineChars="200" w:firstLine="31680"/>
        <w:rPr>
          <w:rFonts w:ascii="仿宋_GB2312" w:eastAsia="仿宋_GB2312" w:hAnsi="楷体_GB2312"/>
        </w:rPr>
      </w:pPr>
    </w:p>
    <w:p w:rsidR="00CF2B6B" w:rsidRPr="00834725" w:rsidRDefault="00CF2B6B" w:rsidP="00834725">
      <w:pPr>
        <w:spacing w:line="592" w:lineRule="exact"/>
        <w:jc w:val="center"/>
        <w:rPr>
          <w:rFonts w:ascii="黑体" w:eastAsia="黑体" w:hAnsi="黑体"/>
        </w:rPr>
      </w:pPr>
      <w:r w:rsidRPr="00834725">
        <w:rPr>
          <w:rFonts w:ascii="黑体" w:eastAsia="黑体" w:hAnsi="黑体" w:cs="黑体" w:hint="eastAsia"/>
        </w:rPr>
        <w:t>第五章</w:t>
      </w:r>
      <w:r w:rsidRPr="00834725">
        <w:rPr>
          <w:rFonts w:ascii="黑体" w:eastAsia="黑体" w:hAnsi="黑体" w:cs="黑体"/>
        </w:rPr>
        <w:t xml:space="preserve"> </w:t>
      </w:r>
      <w:r>
        <w:rPr>
          <w:rFonts w:ascii="黑体" w:eastAsia="黑体" w:hAnsi="黑体" w:cs="黑体"/>
        </w:rPr>
        <w:t xml:space="preserve"> </w:t>
      </w:r>
      <w:r w:rsidRPr="00834725">
        <w:rPr>
          <w:rFonts w:ascii="黑体" w:eastAsia="黑体" w:hAnsi="黑体" w:cs="黑体" w:hint="eastAsia"/>
        </w:rPr>
        <w:t>保障与监督</w:t>
      </w:r>
    </w:p>
    <w:p w:rsidR="00CF2B6B" w:rsidRPr="00834725" w:rsidRDefault="00CF2B6B" w:rsidP="00834725">
      <w:pPr>
        <w:spacing w:line="592" w:lineRule="exact"/>
        <w:ind w:firstLineChars="200" w:firstLine="31680"/>
        <w:rPr>
          <w:rFonts w:ascii="黑体" w:eastAsia="黑体" w:hAnsi="黑体"/>
        </w:rPr>
      </w:pP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第三十八条</w:t>
      </w:r>
      <w:r>
        <w:rPr>
          <w:rFonts w:ascii="黑体" w:eastAsia="黑体" w:hAnsi="黑体" w:cs="黑体"/>
        </w:rPr>
        <w:t xml:space="preserve"> </w:t>
      </w:r>
      <w:r w:rsidRPr="00834725">
        <w:rPr>
          <w:rFonts w:ascii="仿宋_GB2312" w:eastAsia="仿宋_GB2312" w:hAnsi="楷体_GB2312" w:cs="仿宋_GB2312"/>
        </w:rPr>
        <w:t xml:space="preserve"> </w:t>
      </w:r>
      <w:r w:rsidRPr="00834725">
        <w:rPr>
          <w:rFonts w:ascii="仿宋_GB2312" w:eastAsia="仿宋_GB2312" w:hAnsi="楷体_GB2312" w:cs="仿宋_GB2312" w:hint="eastAsia"/>
        </w:rPr>
        <w:t>卫生计生行政主管部门及新农合经办机构和财政、审计、监察等部门应当依照各自职责对新农合基金的筹集、使用和管理，进行定期监督检查、审计，保证基金使用规范、合法，运行安全。</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新农合基金使用情况实行县、乡（镇）、村（居）、定点医疗机构定期公示制度，接受由有关部门和参合人员组成的新农合工作协调监督机构的监督。</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新农合工作协调监督机构应当掌握、分析新农合基金的收支和管理情况，对新农合工作提出咨询意见和建议；对定点医疗机构、经办机构及其工作人员的违法行为，有权向有关部门提出依法处理建议。</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第三十九条</w:t>
      </w:r>
      <w:r>
        <w:rPr>
          <w:rFonts w:ascii="黑体" w:eastAsia="黑体" w:hAnsi="黑体" w:cs="黑体"/>
        </w:rPr>
        <w:t xml:space="preserve"> </w:t>
      </w:r>
      <w:r w:rsidRPr="00834725">
        <w:rPr>
          <w:rFonts w:ascii="仿宋_GB2312" w:eastAsia="仿宋_GB2312" w:hAnsi="楷体_GB2312" w:cs="仿宋_GB2312"/>
        </w:rPr>
        <w:t xml:space="preserve"> </w:t>
      </w:r>
      <w:r w:rsidRPr="00834725">
        <w:rPr>
          <w:rFonts w:ascii="仿宋_GB2312" w:eastAsia="仿宋_GB2312" w:hAnsi="楷体_GB2312" w:cs="仿宋_GB2312" w:hint="eastAsia"/>
        </w:rPr>
        <w:t>卫生计生行政主管部门应当指导新农合定点医疗机构做好内部管理工作，对其执行新农合的规定加强监督，规范医疗服务行为。</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第四十条</w:t>
      </w:r>
      <w:r>
        <w:rPr>
          <w:rFonts w:ascii="黑体" w:eastAsia="黑体" w:hAnsi="黑体" w:cs="黑体"/>
        </w:rPr>
        <w:t xml:space="preserve"> </w:t>
      </w:r>
      <w:r w:rsidRPr="00834725">
        <w:rPr>
          <w:rFonts w:ascii="仿宋_GB2312" w:eastAsia="仿宋_GB2312" w:hAnsi="楷体_GB2312" w:cs="仿宋_GB2312"/>
        </w:rPr>
        <w:t xml:space="preserve"> </w:t>
      </w:r>
      <w:r w:rsidRPr="00834725">
        <w:rPr>
          <w:rFonts w:ascii="仿宋_GB2312" w:eastAsia="仿宋_GB2312" w:hAnsi="楷体_GB2312" w:cs="仿宋_GB2312" w:hint="eastAsia"/>
        </w:rPr>
        <w:t>卫生计生行政主管部门应当加强新农合定点医疗机构使用药品的管理和监督，确保参合人员的用药安全。</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价格主管部门应当加强对新农合药品、诊疗项目价格和医疗服务收费的监督管理。</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财政主管部门应当保障新农合资金及时足额到位，确保新农合经办机构的正常运转，并对新农合基金实施监督管理。</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新农合经办机构按照有关规定，定期与新农合定点医疗机构结算医疗费用。</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第四十一条</w:t>
      </w:r>
      <w:r>
        <w:rPr>
          <w:rFonts w:ascii="黑体" w:eastAsia="黑体" w:hAnsi="黑体" w:cs="黑体"/>
        </w:rPr>
        <w:t xml:space="preserve"> </w:t>
      </w:r>
      <w:r w:rsidRPr="00834725">
        <w:rPr>
          <w:rFonts w:ascii="仿宋_GB2312" w:eastAsia="仿宋_GB2312" w:hAnsi="楷体_GB2312" w:cs="仿宋_GB2312"/>
        </w:rPr>
        <w:t xml:space="preserve"> </w:t>
      </w:r>
      <w:r w:rsidRPr="00834725">
        <w:rPr>
          <w:rFonts w:ascii="仿宋_GB2312" w:eastAsia="仿宋_GB2312" w:hAnsi="楷体_GB2312" w:cs="仿宋_GB2312" w:hint="eastAsia"/>
        </w:rPr>
        <w:t>新农合经办机构应当建立健全内部管理制度，加强新农合基金收支管理，接受监察、审计、财政、卫生计生等部门的监督。</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第四十二条</w:t>
      </w:r>
      <w:r w:rsidRPr="00834725">
        <w:rPr>
          <w:rFonts w:ascii="仿宋_GB2312" w:eastAsia="仿宋_GB2312" w:hAnsi="楷体_GB2312" w:cs="仿宋_GB2312"/>
        </w:rPr>
        <w:t xml:space="preserve"> </w:t>
      </w:r>
      <w:r>
        <w:rPr>
          <w:rFonts w:ascii="仿宋_GB2312" w:eastAsia="仿宋_GB2312" w:hAnsi="楷体_GB2312" w:cs="仿宋_GB2312"/>
        </w:rPr>
        <w:t xml:space="preserve"> </w:t>
      </w:r>
      <w:r w:rsidRPr="00834725">
        <w:rPr>
          <w:rFonts w:ascii="仿宋_GB2312" w:eastAsia="仿宋_GB2312" w:hAnsi="楷体_GB2312" w:cs="仿宋_GB2312" w:hint="eastAsia"/>
        </w:rPr>
        <w:t>卫生计生行政主管部门应当建立新农合定点医疗机构考核制度，会同财政、食品药品监督、价格等主管部门，对新农合定点医疗机构执行新农合规章制度及医疗服务协议情况进行定期考核。</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第四十三条</w:t>
      </w:r>
      <w:r>
        <w:rPr>
          <w:rFonts w:ascii="黑体" w:eastAsia="黑体" w:hAnsi="黑体" w:cs="黑体"/>
        </w:rPr>
        <w:t xml:space="preserve"> </w:t>
      </w:r>
      <w:r w:rsidRPr="00834725">
        <w:rPr>
          <w:rFonts w:ascii="仿宋_GB2312" w:eastAsia="仿宋_GB2312" w:hAnsi="楷体_GB2312" w:cs="仿宋_GB2312"/>
        </w:rPr>
        <w:t xml:space="preserve"> </w:t>
      </w:r>
      <w:r w:rsidRPr="00834725">
        <w:rPr>
          <w:rFonts w:ascii="仿宋_GB2312" w:eastAsia="仿宋_GB2312" w:hAnsi="楷体_GB2312" w:cs="仿宋_GB2312" w:hint="eastAsia"/>
        </w:rPr>
        <w:t>卫生计生行政主管部门应当设立并公布新农合监督举报电话和投诉信箱，受理并查处违反本条例有关规定的投诉和举报。</w:t>
      </w:r>
    </w:p>
    <w:p w:rsidR="00CF2B6B" w:rsidRPr="00834725" w:rsidRDefault="00CF2B6B" w:rsidP="00834725">
      <w:pPr>
        <w:spacing w:line="592" w:lineRule="exact"/>
        <w:ind w:firstLineChars="200" w:firstLine="31680"/>
        <w:rPr>
          <w:rFonts w:ascii="仿宋_GB2312" w:eastAsia="仿宋_GB2312" w:hAnsi="黑体"/>
          <w:b/>
          <w:bCs/>
        </w:rPr>
      </w:pPr>
    </w:p>
    <w:p w:rsidR="00CF2B6B" w:rsidRPr="00834725" w:rsidRDefault="00CF2B6B" w:rsidP="00834725">
      <w:pPr>
        <w:spacing w:line="592" w:lineRule="exact"/>
        <w:jc w:val="center"/>
        <w:rPr>
          <w:rFonts w:ascii="黑体" w:eastAsia="黑体" w:hAnsi="黑体"/>
        </w:rPr>
      </w:pPr>
      <w:r w:rsidRPr="00834725">
        <w:rPr>
          <w:rFonts w:ascii="黑体" w:eastAsia="黑体" w:hAnsi="黑体" w:cs="黑体" w:hint="eastAsia"/>
        </w:rPr>
        <w:t>第六章</w:t>
      </w:r>
      <w:r w:rsidRPr="00834725">
        <w:rPr>
          <w:rFonts w:ascii="黑体" w:eastAsia="黑体" w:hAnsi="黑体" w:cs="黑体"/>
        </w:rPr>
        <w:t xml:space="preserve"> </w:t>
      </w:r>
      <w:r w:rsidRPr="00834725">
        <w:rPr>
          <w:rFonts w:ascii="黑体" w:eastAsia="黑体" w:hAnsi="黑体" w:cs="黑体" w:hint="eastAsia"/>
        </w:rPr>
        <w:t>法律责任</w:t>
      </w:r>
    </w:p>
    <w:p w:rsidR="00CF2B6B" w:rsidRPr="00834725" w:rsidRDefault="00CF2B6B" w:rsidP="00834725">
      <w:pPr>
        <w:spacing w:line="592" w:lineRule="exact"/>
        <w:ind w:firstLineChars="200" w:firstLine="31680"/>
        <w:rPr>
          <w:rFonts w:ascii="黑体" w:eastAsia="黑体" w:hAnsi="黑体"/>
        </w:rPr>
      </w:pP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第四十四条</w:t>
      </w:r>
      <w:r>
        <w:rPr>
          <w:rFonts w:ascii="黑体" w:eastAsia="黑体" w:hAnsi="黑体" w:cs="黑体"/>
        </w:rPr>
        <w:t xml:space="preserve"> </w:t>
      </w:r>
      <w:r w:rsidRPr="00834725">
        <w:rPr>
          <w:rFonts w:ascii="仿宋_GB2312" w:eastAsia="仿宋_GB2312" w:hAnsi="楷体_GB2312" w:cs="仿宋_GB2312"/>
        </w:rPr>
        <w:t xml:space="preserve"> </w:t>
      </w:r>
      <w:r w:rsidRPr="00834725">
        <w:rPr>
          <w:rFonts w:ascii="仿宋_GB2312" w:eastAsia="仿宋_GB2312" w:hAnsi="楷体_GB2312" w:cs="仿宋_GB2312" w:hint="eastAsia"/>
        </w:rPr>
        <w:t>违反本条例第十六条规定，骗取、套取新农合门诊、住院医疗补偿等费用，尚不构成犯罪的，由卫生计生行政主管部门责令退还，并处以所骗取、套取的新农合补偿金</w:t>
      </w:r>
      <w:r w:rsidRPr="00834725">
        <w:rPr>
          <w:rFonts w:ascii="仿宋_GB2312" w:eastAsia="仿宋_GB2312" w:hAnsi="楷体_GB2312" w:cs="仿宋_GB2312"/>
        </w:rPr>
        <w:t>1</w:t>
      </w:r>
      <w:r w:rsidRPr="00834725">
        <w:rPr>
          <w:rFonts w:ascii="仿宋_GB2312" w:eastAsia="仿宋_GB2312" w:hAnsi="楷体_GB2312" w:cs="仿宋_GB2312" w:hint="eastAsia"/>
        </w:rPr>
        <w:t>倍以上</w:t>
      </w:r>
      <w:r w:rsidRPr="00834725">
        <w:rPr>
          <w:rFonts w:ascii="仿宋_GB2312" w:eastAsia="仿宋_GB2312" w:hAnsi="楷体_GB2312" w:cs="仿宋_GB2312"/>
        </w:rPr>
        <w:t>3</w:t>
      </w:r>
      <w:r w:rsidRPr="00834725">
        <w:rPr>
          <w:rFonts w:ascii="仿宋_GB2312" w:eastAsia="仿宋_GB2312" w:hAnsi="楷体_GB2312" w:cs="仿宋_GB2312" w:hint="eastAsia"/>
        </w:rPr>
        <w:t>倍以下罚款；将新农合证出租、转借给他人的，取消该户当年新农合补偿资格。</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第四十五条</w:t>
      </w:r>
      <w:r>
        <w:rPr>
          <w:rFonts w:ascii="黑体" w:eastAsia="黑体" w:hAnsi="黑体" w:cs="黑体"/>
        </w:rPr>
        <w:t xml:space="preserve"> </w:t>
      </w:r>
      <w:r w:rsidRPr="00834725">
        <w:rPr>
          <w:rFonts w:ascii="仿宋_GB2312" w:eastAsia="仿宋_GB2312" w:hAnsi="楷体_GB2312" w:cs="仿宋_GB2312"/>
        </w:rPr>
        <w:t xml:space="preserve"> </w:t>
      </w:r>
      <w:r w:rsidRPr="00834725">
        <w:rPr>
          <w:rFonts w:ascii="仿宋_GB2312" w:eastAsia="仿宋_GB2312" w:hAnsi="楷体_GB2312" w:cs="仿宋_GB2312" w:hint="eastAsia"/>
        </w:rPr>
        <w:t>新农合定点医疗机构违反本条例规定套取新农合基金的，由卫生计生行政主管部门责令全额退还，已垫付的医疗费用不予审核支付，并按照协议违约责任追缴</w:t>
      </w:r>
      <w:r w:rsidRPr="00834725">
        <w:rPr>
          <w:rFonts w:ascii="仿宋_GB2312" w:eastAsia="仿宋_GB2312" w:hAnsi="楷体_GB2312" w:cs="仿宋_GB2312"/>
        </w:rPr>
        <w:t>5</w:t>
      </w:r>
      <w:r w:rsidRPr="00834725">
        <w:rPr>
          <w:rFonts w:ascii="仿宋_GB2312" w:eastAsia="仿宋_GB2312" w:hAnsi="楷体_GB2312" w:cs="仿宋_GB2312" w:hint="eastAsia"/>
        </w:rPr>
        <w:t>至</w:t>
      </w:r>
      <w:r w:rsidRPr="00834725">
        <w:rPr>
          <w:rFonts w:ascii="仿宋_GB2312" w:eastAsia="仿宋_GB2312" w:hAnsi="楷体_GB2312" w:cs="仿宋_GB2312"/>
        </w:rPr>
        <w:t>10</w:t>
      </w:r>
      <w:r w:rsidRPr="00834725">
        <w:rPr>
          <w:rFonts w:ascii="仿宋_GB2312" w:eastAsia="仿宋_GB2312" w:hAnsi="楷体_GB2312" w:cs="仿宋_GB2312" w:hint="eastAsia"/>
        </w:rPr>
        <w:t>倍违约金；情节严重的，依法取消其新农合定点医疗机构资格。</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第四十六条</w:t>
      </w:r>
      <w:r w:rsidRPr="00834725">
        <w:rPr>
          <w:rFonts w:ascii="仿宋_GB2312" w:eastAsia="仿宋_GB2312" w:hAnsi="楷体_GB2312" w:cs="仿宋_GB2312"/>
        </w:rPr>
        <w:t xml:space="preserve"> </w:t>
      </w:r>
      <w:r>
        <w:rPr>
          <w:rFonts w:ascii="仿宋_GB2312" w:eastAsia="仿宋_GB2312" w:hAnsi="楷体_GB2312" w:cs="仿宋_GB2312"/>
        </w:rPr>
        <w:t xml:space="preserve"> </w:t>
      </w:r>
      <w:r w:rsidRPr="00834725">
        <w:rPr>
          <w:rFonts w:ascii="仿宋_GB2312" w:eastAsia="仿宋_GB2312" w:hAnsi="楷体_GB2312" w:cs="仿宋_GB2312" w:hint="eastAsia"/>
        </w:rPr>
        <w:t>新农合定点医疗机构在考核中不合格的，由卫生计生行政主管部门责令限期整改，整改期间暂停新农合补偿有关业务；整改仍不合格的，依法取消其新农合定点医疗机构资格。</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第四十七条</w:t>
      </w:r>
      <w:r>
        <w:rPr>
          <w:rFonts w:ascii="黑体" w:eastAsia="黑体" w:hAnsi="黑体" w:cs="黑体"/>
        </w:rPr>
        <w:t xml:space="preserve"> </w:t>
      </w:r>
      <w:r w:rsidRPr="00834725">
        <w:rPr>
          <w:rFonts w:ascii="仿宋_GB2312" w:eastAsia="仿宋_GB2312" w:hAnsi="楷体_GB2312" w:cs="仿宋_GB2312"/>
        </w:rPr>
        <w:t xml:space="preserve"> </w:t>
      </w:r>
      <w:r w:rsidRPr="00834725">
        <w:rPr>
          <w:rFonts w:ascii="仿宋_GB2312" w:eastAsia="仿宋_GB2312" w:hAnsi="楷体_GB2312" w:cs="仿宋_GB2312" w:hint="eastAsia"/>
        </w:rPr>
        <w:t>新农合定点医疗机构医务人员及相关工作人员，有下列情形之一，尚不构成犯罪的，由卫生计生行政主管部门给予警告，并责令改正；情节严重的，依法暂停或取消执业资格，所有新农合定点医疗机构不得聘用：</w:t>
      </w:r>
    </w:p>
    <w:p w:rsidR="00CF2B6B" w:rsidRPr="00834725" w:rsidRDefault="00CF2B6B" w:rsidP="00834725">
      <w:pPr>
        <w:spacing w:line="592" w:lineRule="exact"/>
        <w:ind w:firstLineChars="200" w:firstLine="31680"/>
        <w:rPr>
          <w:rFonts w:ascii="仿宋_GB2312" w:eastAsia="仿宋_GB2312" w:hAnsi="楷体_GB2312"/>
        </w:rPr>
      </w:pPr>
      <w:r>
        <w:rPr>
          <w:rFonts w:ascii="仿宋_GB2312" w:eastAsia="仿宋_GB2312" w:hAnsi="楷体_GB2312" w:cs="仿宋_GB2312" w:hint="eastAsia"/>
        </w:rPr>
        <w:t>（一）</w:t>
      </w:r>
      <w:r w:rsidRPr="00834725">
        <w:rPr>
          <w:rFonts w:ascii="仿宋_GB2312" w:eastAsia="仿宋_GB2312" w:hAnsi="楷体_GB2312" w:cs="仿宋_GB2312" w:hint="eastAsia"/>
        </w:rPr>
        <w:t>明知患者使用他人新农合医疗证件，仍为其提供医疗服务致使新农合补偿费用被骗取的；</w:t>
      </w:r>
    </w:p>
    <w:p w:rsidR="00CF2B6B" w:rsidRPr="00834725" w:rsidRDefault="00CF2B6B" w:rsidP="00834725">
      <w:pPr>
        <w:spacing w:line="592" w:lineRule="exact"/>
        <w:ind w:firstLineChars="200" w:firstLine="31680"/>
        <w:rPr>
          <w:rFonts w:ascii="仿宋_GB2312" w:eastAsia="仿宋_GB2312" w:hAnsi="楷体_GB2312"/>
        </w:rPr>
      </w:pPr>
      <w:r>
        <w:rPr>
          <w:rFonts w:ascii="仿宋_GB2312" w:eastAsia="仿宋_GB2312" w:hAnsi="楷体_GB2312" w:cs="仿宋_GB2312" w:hint="eastAsia"/>
        </w:rPr>
        <w:t>（二）</w:t>
      </w:r>
      <w:r w:rsidRPr="00834725">
        <w:rPr>
          <w:rFonts w:ascii="仿宋_GB2312" w:eastAsia="仿宋_GB2312" w:hAnsi="楷体_GB2312" w:cs="仿宋_GB2312" w:hint="eastAsia"/>
        </w:rPr>
        <w:t>利用工作之便为患者或家属骗取新农合补偿费用提供条件的；</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（三）采取各种非法手段套取新农合基金的。</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第四十八条</w:t>
      </w:r>
      <w:r w:rsidRPr="00834725">
        <w:rPr>
          <w:rFonts w:ascii="仿宋_GB2312" w:eastAsia="仿宋_GB2312" w:hAnsi="楷体_GB2312" w:cs="仿宋_GB2312"/>
        </w:rPr>
        <w:t xml:space="preserve"> </w:t>
      </w:r>
      <w:r w:rsidRPr="00834725">
        <w:rPr>
          <w:rFonts w:ascii="仿宋_GB2312" w:eastAsia="仿宋_GB2312" w:hAnsi="楷体_GB2312" w:cs="仿宋_GB2312" w:hint="eastAsia"/>
        </w:rPr>
        <w:t>新农合经办机构及其工作人员有下列情形之一，尚不构成犯罪的，由自治县人民政府有关行政主管部门责令改正；对负有直接责任的主管人员和其他直接责任人员给予行政处分，造成损失的，应当依法赔偿：</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（一）不按规定代收参合人员个人缴纳的费用、出具参合人员个人缴费票据，不按规定为参合人员办理参合信息登记或者确认的；</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（二）截留、挪用、侵占新农合基金的；</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（三）未将参合人员个人缴纳的费用转入新农合基金专户，或其他违反新农合基金管理规定的行为，造成损失的；</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（四）违反规定审批支付新农合补偿金的；</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仿宋_GB2312" w:eastAsia="仿宋_GB2312" w:hAnsi="楷体_GB2312" w:cs="仿宋_GB2312" w:hint="eastAsia"/>
        </w:rPr>
        <w:t>（五）违反新农合管理规定的其他行为。</w:t>
      </w:r>
    </w:p>
    <w:p w:rsidR="00CF2B6B" w:rsidRPr="00834725" w:rsidRDefault="00CF2B6B" w:rsidP="00834725">
      <w:pPr>
        <w:spacing w:line="592" w:lineRule="exact"/>
        <w:ind w:firstLineChars="200" w:firstLine="31680"/>
        <w:rPr>
          <w:rFonts w:ascii="仿宋_GB2312" w:eastAsia="仿宋_GB2312" w:hAnsi="楷体_GB2312"/>
        </w:rPr>
      </w:pPr>
    </w:p>
    <w:p w:rsidR="00CF2B6B" w:rsidRPr="00834725" w:rsidRDefault="00CF2B6B" w:rsidP="00834725">
      <w:pPr>
        <w:spacing w:line="592" w:lineRule="exact"/>
        <w:jc w:val="center"/>
        <w:rPr>
          <w:rFonts w:ascii="黑体" w:eastAsia="黑体" w:hAnsi="黑体"/>
        </w:rPr>
      </w:pPr>
      <w:r w:rsidRPr="00834725">
        <w:rPr>
          <w:rFonts w:ascii="黑体" w:eastAsia="黑体" w:hAnsi="黑体" w:cs="黑体" w:hint="eastAsia"/>
        </w:rPr>
        <w:t>第七章</w:t>
      </w:r>
      <w:r w:rsidRPr="00834725">
        <w:rPr>
          <w:rFonts w:ascii="黑体" w:eastAsia="黑体" w:hAnsi="黑体" w:cs="黑体"/>
        </w:rPr>
        <w:t xml:space="preserve"> </w:t>
      </w:r>
      <w:r>
        <w:rPr>
          <w:rFonts w:ascii="黑体" w:eastAsia="黑体" w:hAnsi="黑体" w:cs="黑体"/>
        </w:rPr>
        <w:t xml:space="preserve"> </w:t>
      </w:r>
      <w:r w:rsidRPr="00834725">
        <w:rPr>
          <w:rFonts w:ascii="黑体" w:eastAsia="黑体" w:hAnsi="黑体" w:cs="黑体" w:hint="eastAsia"/>
        </w:rPr>
        <w:t>附</w:t>
      </w:r>
      <w:r w:rsidRPr="00834725">
        <w:rPr>
          <w:rFonts w:ascii="黑体" w:eastAsia="黑体" w:hAnsi="黑体" w:cs="黑体"/>
        </w:rPr>
        <w:t xml:space="preserve"> </w:t>
      </w:r>
      <w:r w:rsidRPr="00834725">
        <w:rPr>
          <w:rFonts w:ascii="黑体" w:eastAsia="黑体" w:hAnsi="黑体" w:cs="黑体" w:hint="eastAsia"/>
        </w:rPr>
        <w:t>则</w:t>
      </w:r>
    </w:p>
    <w:p w:rsidR="00CF2B6B" w:rsidRPr="00834725" w:rsidRDefault="00CF2B6B" w:rsidP="00834725">
      <w:pPr>
        <w:spacing w:line="592" w:lineRule="exact"/>
        <w:ind w:firstLineChars="200" w:firstLine="31680"/>
        <w:rPr>
          <w:rFonts w:ascii="黑体" w:eastAsia="黑体" w:hAnsi="黑体"/>
        </w:rPr>
      </w:pP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第四十九条</w:t>
      </w:r>
      <w:r>
        <w:rPr>
          <w:rFonts w:ascii="仿宋_GB2312" w:eastAsia="仿宋_GB2312" w:hAnsi="楷体_GB2312" w:cs="仿宋_GB2312"/>
        </w:rPr>
        <w:t xml:space="preserve">  </w:t>
      </w:r>
      <w:r w:rsidRPr="00834725">
        <w:rPr>
          <w:rFonts w:ascii="仿宋_GB2312" w:eastAsia="仿宋_GB2312" w:hAnsi="楷体_GB2312" w:cs="仿宋_GB2312" w:hint="eastAsia"/>
        </w:rPr>
        <w:t>自治县人民政府可以根据本条例制定实施细则。</w:t>
      </w:r>
    </w:p>
    <w:p w:rsidR="00CF2B6B" w:rsidRPr="00834725" w:rsidRDefault="00CF2B6B" w:rsidP="00834725">
      <w:pPr>
        <w:spacing w:line="592" w:lineRule="exact"/>
        <w:ind w:firstLineChars="200" w:firstLine="31680"/>
        <w:rPr>
          <w:rFonts w:ascii="仿宋_GB2312" w:eastAsia="仿宋_GB2312" w:hAnsi="楷体_GB2312"/>
        </w:rPr>
      </w:pPr>
      <w:r w:rsidRPr="00834725">
        <w:rPr>
          <w:rFonts w:ascii="黑体" w:eastAsia="黑体" w:hAnsi="黑体" w:cs="黑体" w:hint="eastAsia"/>
        </w:rPr>
        <w:t>第五十条</w:t>
      </w:r>
      <w:r w:rsidRPr="00834725">
        <w:rPr>
          <w:rFonts w:ascii="仿宋_GB2312" w:eastAsia="仿宋_GB2312" w:hAnsi="楷体_GB2312" w:cs="仿宋_GB2312"/>
        </w:rPr>
        <w:t xml:space="preserve"> </w:t>
      </w:r>
      <w:r>
        <w:rPr>
          <w:rFonts w:ascii="仿宋_GB2312" w:eastAsia="仿宋_GB2312" w:hAnsi="楷体_GB2312" w:cs="仿宋_GB2312"/>
        </w:rPr>
        <w:t xml:space="preserve"> </w:t>
      </w:r>
      <w:r w:rsidRPr="00834725">
        <w:rPr>
          <w:rFonts w:ascii="仿宋_GB2312" w:eastAsia="仿宋_GB2312" w:hAnsi="楷体_GB2312" w:cs="仿宋_GB2312" w:hint="eastAsia"/>
        </w:rPr>
        <w:t>本条例自</w:t>
      </w:r>
      <w:r w:rsidRPr="00834725">
        <w:rPr>
          <w:rFonts w:ascii="仿宋_GB2312" w:eastAsia="仿宋_GB2312" w:hAnsi="楷体_GB2312" w:cs="仿宋_GB2312"/>
        </w:rPr>
        <w:t>2015</w:t>
      </w:r>
      <w:r w:rsidRPr="00834725">
        <w:rPr>
          <w:rFonts w:ascii="仿宋_GB2312" w:eastAsia="仿宋_GB2312" w:hAnsi="楷体_GB2312" w:cs="仿宋_GB2312" w:hint="eastAsia"/>
        </w:rPr>
        <w:t>年</w:t>
      </w:r>
      <w:r w:rsidRPr="00834725">
        <w:rPr>
          <w:rFonts w:ascii="仿宋_GB2312" w:eastAsia="仿宋_GB2312" w:hAnsi="楷体_GB2312" w:cs="仿宋_GB2312"/>
        </w:rPr>
        <w:t>5</w:t>
      </w:r>
      <w:r w:rsidRPr="00834725">
        <w:rPr>
          <w:rFonts w:ascii="仿宋_GB2312" w:eastAsia="仿宋_GB2312" w:hAnsi="楷体_GB2312" w:cs="仿宋_GB2312" w:hint="eastAsia"/>
        </w:rPr>
        <w:t>月</w:t>
      </w:r>
      <w:r w:rsidRPr="00834725">
        <w:rPr>
          <w:rFonts w:ascii="仿宋_GB2312" w:eastAsia="仿宋_GB2312" w:hAnsi="楷体_GB2312" w:cs="仿宋_GB2312"/>
        </w:rPr>
        <w:t>1</w:t>
      </w:r>
      <w:r w:rsidRPr="00834725">
        <w:rPr>
          <w:rFonts w:ascii="仿宋_GB2312" w:eastAsia="仿宋_GB2312" w:hAnsi="楷体_GB2312" w:cs="仿宋_GB2312" w:hint="eastAsia"/>
        </w:rPr>
        <w:t>日起施行。</w:t>
      </w:r>
    </w:p>
    <w:p w:rsidR="00CF2B6B" w:rsidRDefault="00CF2B6B" w:rsidP="00834725">
      <w:pPr>
        <w:spacing w:line="592" w:lineRule="exact"/>
        <w:jc w:val="center"/>
        <w:rPr>
          <w:kern w:val="0"/>
        </w:rPr>
      </w:pPr>
    </w:p>
    <w:sectPr w:rsidR="00CF2B6B" w:rsidSect="00CF2B6B">
      <w:headerReference w:type="default" r:id="rId11"/>
      <w:footerReference w:type="default" r:id="rId12"/>
      <w:pgSz w:w="11906" w:h="16838"/>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B6B" w:rsidRDefault="00CF2B6B">
      <w:r>
        <w:separator/>
      </w:r>
    </w:p>
  </w:endnote>
  <w:endnote w:type="continuationSeparator" w:id="1">
    <w:p w:rsidR="00CF2B6B" w:rsidRDefault="00CF2B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B6B" w:rsidRDefault="00CF2B6B">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04pt;margin-top:0;width:2in;height:2in;z-index:251656704;mso-wrap-style:none;mso-position-horizontal:outside;mso-position-horizontal-relative:margin" filled="f" stroked="f">
          <v:fill o:detectmouseclick="t"/>
          <v:textbox style="mso-fit-shape-to-text:t" inset="0,0,0,0">
            <w:txbxContent>
              <w:p w:rsidR="00CF2B6B" w:rsidRDefault="00CF2B6B">
                <w:pPr>
                  <w:snapToGrid w:val="0"/>
                  <w:rPr>
                    <w:sz w:val="18"/>
                    <w:szCs w:val="18"/>
                  </w:rPr>
                </w:pPr>
                <w:r>
                  <w:rPr>
                    <w:rStyle w:val="PageNumber"/>
                    <w:rFonts w:ascii="仿宋_GB2312" w:eastAsia="仿宋_GB2312" w:cs="仿宋_GB2312"/>
                    <w:sz w:val="28"/>
                    <w:szCs w:val="28"/>
                  </w:rPr>
                  <w:t>—</w:t>
                </w:r>
                <w:r>
                  <w:rPr>
                    <w:rStyle w:val="PageNumber"/>
                    <w:rFonts w:ascii="仿宋_GB2312" w:eastAsia="仿宋_GB2312" w:cs="仿宋_GB2312"/>
                    <w:sz w:val="28"/>
                    <w:szCs w:val="28"/>
                  </w:rPr>
                  <w:fldChar w:fldCharType="begin"/>
                </w:r>
                <w:r>
                  <w:rPr>
                    <w:rStyle w:val="PageNumber"/>
                    <w:rFonts w:ascii="仿宋_GB2312" w:eastAsia="仿宋_GB2312" w:cs="仿宋_GB2312"/>
                    <w:sz w:val="28"/>
                    <w:szCs w:val="28"/>
                  </w:rPr>
                  <w:instrText xml:space="preserve">PAGE  </w:instrText>
                </w:r>
                <w:r>
                  <w:rPr>
                    <w:rStyle w:val="PageNumber"/>
                    <w:rFonts w:ascii="仿宋_GB2312" w:eastAsia="仿宋_GB2312" w:cs="仿宋_GB2312"/>
                    <w:sz w:val="28"/>
                    <w:szCs w:val="28"/>
                  </w:rPr>
                  <w:fldChar w:fldCharType="separate"/>
                </w:r>
                <w:r>
                  <w:rPr>
                    <w:rStyle w:val="PageNumber"/>
                    <w:rFonts w:ascii="仿宋_GB2312" w:eastAsia="仿宋_GB2312" w:cs="仿宋_GB2312"/>
                    <w:noProof/>
                    <w:sz w:val="28"/>
                    <w:szCs w:val="28"/>
                  </w:rPr>
                  <w:t>1</w:t>
                </w:r>
                <w:r>
                  <w:rPr>
                    <w:rStyle w:val="PageNumber"/>
                    <w:rFonts w:ascii="仿宋_GB2312" w:eastAsia="仿宋_GB2312" w:cs="仿宋_GB2312"/>
                    <w:sz w:val="28"/>
                    <w:szCs w:val="28"/>
                  </w:rPr>
                  <w:fldChar w:fldCharType="end"/>
                </w:r>
                <w:r>
                  <w:rPr>
                    <w:rStyle w:val="PageNumber"/>
                    <w:rFonts w:ascii="仿宋_GB2312" w:eastAsia="仿宋_GB2312" w:cs="仿宋_GB2312"/>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B6B" w:rsidRDefault="00CF2B6B">
    <w:pPr>
      <w:pStyle w:val="Footer"/>
    </w:pPr>
    <w:r>
      <w:rPr>
        <w:noProof/>
      </w:rPr>
      <w:pict>
        <v:shapetype id="_x0000_t202" coordsize="21600,21600" o:spt="202" path="m,l,21600r21600,l21600,xe">
          <v:stroke joinstyle="miter"/>
          <v:path gradientshapeok="t" o:connecttype="rect"/>
        </v:shapetype>
        <v:shape id="文本框 3" o:spid="_x0000_s2050" type="#_x0000_t202" style="position:absolute;margin-left:104pt;margin-top:0;width:2in;height:2in;z-index:251657728;mso-wrap-style:none;mso-position-horizontal:outside;mso-position-horizontal-relative:margin" filled="f" stroked="f">
          <v:textbox style="mso-fit-shape-to-text:t" inset="0,0,0,0">
            <w:txbxContent>
              <w:p w:rsidR="00CF2B6B" w:rsidRDefault="00CF2B6B">
                <w:pPr>
                  <w:snapToGrid w:val="0"/>
                  <w:rPr>
                    <w:sz w:val="18"/>
                    <w:szCs w:val="18"/>
                  </w:rPr>
                </w:pPr>
                <w:r>
                  <w:rPr>
                    <w:rStyle w:val="PageNumber"/>
                    <w:rFonts w:ascii="仿宋_GB2312" w:eastAsia="仿宋_GB2312" w:cs="仿宋_GB2312"/>
                    <w:sz w:val="28"/>
                    <w:szCs w:val="28"/>
                  </w:rPr>
                  <w:t>—</w:t>
                </w:r>
                <w:r>
                  <w:rPr>
                    <w:rStyle w:val="PageNumber"/>
                    <w:rFonts w:ascii="仿宋_GB2312" w:eastAsia="仿宋_GB2312" w:cs="仿宋_GB2312"/>
                    <w:sz w:val="28"/>
                    <w:szCs w:val="28"/>
                  </w:rPr>
                  <w:fldChar w:fldCharType="begin"/>
                </w:r>
                <w:r>
                  <w:rPr>
                    <w:rStyle w:val="PageNumber"/>
                    <w:rFonts w:ascii="仿宋_GB2312" w:eastAsia="仿宋_GB2312" w:cs="仿宋_GB2312"/>
                    <w:sz w:val="28"/>
                    <w:szCs w:val="28"/>
                  </w:rPr>
                  <w:instrText xml:space="preserve">PAGE  </w:instrText>
                </w:r>
                <w:r>
                  <w:rPr>
                    <w:rStyle w:val="PageNumber"/>
                    <w:rFonts w:ascii="仿宋_GB2312" w:eastAsia="仿宋_GB2312" w:cs="仿宋_GB2312"/>
                    <w:sz w:val="28"/>
                    <w:szCs w:val="28"/>
                  </w:rPr>
                  <w:fldChar w:fldCharType="separate"/>
                </w:r>
                <w:r>
                  <w:rPr>
                    <w:rStyle w:val="PageNumber"/>
                    <w:rFonts w:ascii="仿宋_GB2312" w:eastAsia="仿宋_GB2312" w:cs="仿宋_GB2312"/>
                    <w:noProof/>
                    <w:sz w:val="28"/>
                    <w:szCs w:val="28"/>
                  </w:rPr>
                  <w:t>2</w:t>
                </w:r>
                <w:r>
                  <w:rPr>
                    <w:rStyle w:val="PageNumber"/>
                    <w:rFonts w:ascii="仿宋_GB2312" w:eastAsia="仿宋_GB2312" w:cs="仿宋_GB2312"/>
                    <w:sz w:val="28"/>
                    <w:szCs w:val="28"/>
                  </w:rPr>
                  <w:fldChar w:fldCharType="end"/>
                </w:r>
                <w:r>
                  <w:rPr>
                    <w:rStyle w:val="PageNumber"/>
                    <w:rFonts w:ascii="仿宋_GB2312" w:eastAsia="仿宋_GB2312" w:cs="仿宋_GB2312"/>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B6B" w:rsidRDefault="00CF2B6B">
    <w:pPr>
      <w:pStyle w:val="Footer"/>
    </w:pPr>
    <w:r>
      <w:rPr>
        <w:noProof/>
      </w:rPr>
      <w:pict>
        <v:shapetype id="_x0000_t202" coordsize="21600,21600" o:spt="202" path="m,l,21600r21600,l21600,xe">
          <v:stroke joinstyle="miter"/>
          <v:path gradientshapeok="t" o:connecttype="rect"/>
        </v:shapetype>
        <v:shape id="文本框 4" o:spid="_x0000_s2051" type="#_x0000_t202" style="position:absolute;margin-left:104pt;margin-top:0;width:2in;height:2in;z-index:251658752;mso-wrap-style:none;mso-position-horizontal:outside;mso-position-horizontal-relative:margin" filled="f" stroked="f">
          <v:textbox style="mso-fit-shape-to-text:t" inset="0,0,0,0">
            <w:txbxContent>
              <w:p w:rsidR="00CF2B6B" w:rsidRDefault="00CF2B6B">
                <w:pPr>
                  <w:snapToGrid w:val="0"/>
                  <w:rPr>
                    <w:sz w:val="18"/>
                    <w:szCs w:val="18"/>
                  </w:rPr>
                </w:pPr>
                <w:r>
                  <w:rPr>
                    <w:rStyle w:val="PageNumber"/>
                    <w:rFonts w:ascii="仿宋_GB2312" w:eastAsia="仿宋_GB2312" w:cs="仿宋_GB2312"/>
                    <w:sz w:val="28"/>
                    <w:szCs w:val="28"/>
                  </w:rPr>
                  <w:t>—</w:t>
                </w:r>
                <w:r>
                  <w:rPr>
                    <w:rStyle w:val="PageNumber"/>
                    <w:rFonts w:ascii="仿宋_GB2312" w:eastAsia="仿宋_GB2312" w:cs="仿宋_GB2312"/>
                    <w:sz w:val="28"/>
                    <w:szCs w:val="28"/>
                  </w:rPr>
                  <w:fldChar w:fldCharType="begin"/>
                </w:r>
                <w:r>
                  <w:rPr>
                    <w:rStyle w:val="PageNumber"/>
                    <w:rFonts w:ascii="仿宋_GB2312" w:eastAsia="仿宋_GB2312" w:cs="仿宋_GB2312"/>
                    <w:sz w:val="28"/>
                    <w:szCs w:val="28"/>
                  </w:rPr>
                  <w:instrText xml:space="preserve">PAGE  </w:instrText>
                </w:r>
                <w:r>
                  <w:rPr>
                    <w:rStyle w:val="PageNumber"/>
                    <w:rFonts w:ascii="仿宋_GB2312" w:eastAsia="仿宋_GB2312" w:cs="仿宋_GB2312"/>
                    <w:sz w:val="28"/>
                    <w:szCs w:val="28"/>
                  </w:rPr>
                  <w:fldChar w:fldCharType="separate"/>
                </w:r>
                <w:r>
                  <w:rPr>
                    <w:rStyle w:val="PageNumber"/>
                    <w:rFonts w:ascii="仿宋_GB2312" w:eastAsia="仿宋_GB2312" w:cs="仿宋_GB2312"/>
                    <w:noProof/>
                    <w:sz w:val="28"/>
                    <w:szCs w:val="28"/>
                  </w:rPr>
                  <w:t>3</w:t>
                </w:r>
                <w:r>
                  <w:rPr>
                    <w:rStyle w:val="PageNumber"/>
                    <w:rFonts w:ascii="仿宋_GB2312" w:eastAsia="仿宋_GB2312" w:cs="仿宋_GB2312"/>
                    <w:sz w:val="28"/>
                    <w:szCs w:val="28"/>
                  </w:rPr>
                  <w:fldChar w:fldCharType="end"/>
                </w:r>
                <w:r>
                  <w:rPr>
                    <w:rStyle w:val="PageNumber"/>
                    <w:rFonts w:ascii="仿宋_GB2312" w:eastAsia="仿宋_GB2312" w:cs="仿宋_GB2312"/>
                    <w:sz w:val="28"/>
                    <w:szCs w:val="28"/>
                  </w:rPr>
                  <w:t>—</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B6B" w:rsidRDefault="00CF2B6B">
    <w:pPr>
      <w:pStyle w:val="Footer"/>
    </w:pPr>
    <w:r>
      <w:rPr>
        <w:noProof/>
      </w:rPr>
      <w:pict>
        <v:shapetype id="_x0000_t202" coordsize="21600,21600" o:spt="202" path="m,l,21600r21600,l21600,xe">
          <v:stroke joinstyle="miter"/>
          <v:path gradientshapeok="t" o:connecttype="rect"/>
        </v:shapetype>
        <v:shape id="文本框 5" o:spid="_x0000_s2052" type="#_x0000_t202" style="position:absolute;margin-left:104pt;margin-top:0;width:2in;height:2in;z-index:251659776;mso-wrap-style:none;mso-position-horizontal:outside;mso-position-horizontal-relative:margin" filled="f" stroked="f">
          <v:textbox style="mso-fit-shape-to-text:t" inset="0,0,0,0">
            <w:txbxContent>
              <w:p w:rsidR="00CF2B6B" w:rsidRDefault="00CF2B6B">
                <w:pPr>
                  <w:snapToGrid w:val="0"/>
                  <w:rPr>
                    <w:sz w:val="18"/>
                    <w:szCs w:val="18"/>
                  </w:rPr>
                </w:pPr>
                <w:r>
                  <w:rPr>
                    <w:rStyle w:val="PageNumber"/>
                    <w:rFonts w:ascii="仿宋_GB2312" w:eastAsia="仿宋_GB2312" w:cs="仿宋_GB2312"/>
                    <w:sz w:val="28"/>
                    <w:szCs w:val="28"/>
                  </w:rPr>
                  <w:t>—</w:t>
                </w:r>
                <w:r>
                  <w:rPr>
                    <w:rStyle w:val="PageNumber"/>
                    <w:rFonts w:ascii="仿宋_GB2312" w:eastAsia="仿宋_GB2312" w:cs="仿宋_GB2312"/>
                    <w:sz w:val="28"/>
                    <w:szCs w:val="28"/>
                  </w:rPr>
                  <w:fldChar w:fldCharType="begin"/>
                </w:r>
                <w:r>
                  <w:rPr>
                    <w:rStyle w:val="PageNumber"/>
                    <w:rFonts w:ascii="仿宋_GB2312" w:eastAsia="仿宋_GB2312" w:cs="仿宋_GB2312"/>
                    <w:sz w:val="28"/>
                    <w:szCs w:val="28"/>
                  </w:rPr>
                  <w:instrText xml:space="preserve">PAGE  </w:instrText>
                </w:r>
                <w:r>
                  <w:rPr>
                    <w:rStyle w:val="PageNumber"/>
                    <w:rFonts w:ascii="仿宋_GB2312" w:eastAsia="仿宋_GB2312" w:cs="仿宋_GB2312"/>
                    <w:sz w:val="28"/>
                    <w:szCs w:val="28"/>
                  </w:rPr>
                  <w:fldChar w:fldCharType="separate"/>
                </w:r>
                <w:r>
                  <w:rPr>
                    <w:rStyle w:val="PageNumber"/>
                    <w:rFonts w:ascii="仿宋_GB2312" w:eastAsia="仿宋_GB2312" w:cs="仿宋_GB2312"/>
                    <w:noProof/>
                    <w:sz w:val="28"/>
                    <w:szCs w:val="28"/>
                  </w:rPr>
                  <w:t>4</w:t>
                </w:r>
                <w:r>
                  <w:rPr>
                    <w:rStyle w:val="PageNumber"/>
                    <w:rFonts w:ascii="仿宋_GB2312" w:eastAsia="仿宋_GB2312" w:cs="仿宋_GB2312"/>
                    <w:sz w:val="28"/>
                    <w:szCs w:val="28"/>
                  </w:rPr>
                  <w:fldChar w:fldCharType="end"/>
                </w:r>
                <w:r>
                  <w:rPr>
                    <w:rStyle w:val="PageNumber"/>
                    <w:rFonts w:ascii="仿宋_GB2312" w:eastAsia="仿宋_GB2312" w:cs="仿宋_GB2312"/>
                    <w:sz w:val="28"/>
                    <w:szCs w:val="28"/>
                  </w:rPr>
                  <w:t>—</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B6B" w:rsidRDefault="00CF2B6B">
    <w:pPr>
      <w:pStyle w:val="Footer"/>
    </w:pPr>
    <w:r>
      <w:rPr>
        <w:noProof/>
      </w:rPr>
      <w:pict>
        <v:shapetype id="_x0000_t202" coordsize="21600,21600" o:spt="202" path="m,l,21600r21600,l21600,xe">
          <v:stroke joinstyle="miter"/>
          <v:path gradientshapeok="t" o:connecttype="rect"/>
        </v:shapetype>
        <v:shape id="文本框 1" o:spid="_x0000_s2053" type="#_x0000_t202" style="position:absolute;margin-left:104pt;margin-top:0;width:2in;height:2in;z-index:251655680;mso-wrap-style:none;mso-position-horizontal:outside;mso-position-horizontal-relative:margin" filled="f" stroked="f">
          <v:fill o:detectmouseclick="t"/>
          <v:textbox style="mso-fit-shape-to-text:t" inset="0,0,0,0">
            <w:txbxContent>
              <w:p w:rsidR="00CF2B6B" w:rsidRDefault="00CF2B6B">
                <w:pPr>
                  <w:pStyle w:val="Footer"/>
                  <w:rPr>
                    <w:rStyle w:val="PageNumber"/>
                    <w:sz w:val="28"/>
                    <w:szCs w:val="28"/>
                  </w:rPr>
                </w:pPr>
                <w:r>
                  <w:rPr>
                    <w:rStyle w:val="PageNumber"/>
                    <w:rFonts w:cs="宋体"/>
                    <w:sz w:val="28"/>
                    <w:szCs w:val="28"/>
                  </w:rPr>
                  <w:t>—</w:t>
                </w:r>
                <w:r>
                  <w:rPr>
                    <w:rStyle w:val="PageNumber"/>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12</w:t>
                </w:r>
                <w:r>
                  <w:rPr>
                    <w:rStyle w:val="PageNumber"/>
                    <w:sz w:val="28"/>
                    <w:szCs w:val="28"/>
                  </w:rPr>
                  <w:fldChar w:fldCharType="end"/>
                </w:r>
                <w:r>
                  <w:rPr>
                    <w:rStyle w:val="PageNumber"/>
                    <w:sz w:val="28"/>
                    <w:szCs w:val="28"/>
                  </w:rPr>
                  <w:t xml:space="preserve"> </w:t>
                </w:r>
                <w:r>
                  <w:rPr>
                    <w:rStyle w:val="PageNumber"/>
                    <w:rFonts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B6B" w:rsidRDefault="00CF2B6B">
      <w:r>
        <w:separator/>
      </w:r>
    </w:p>
  </w:footnote>
  <w:footnote w:type="continuationSeparator" w:id="1">
    <w:p w:rsidR="00CF2B6B" w:rsidRDefault="00CF2B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B6B" w:rsidRDefault="00CF2B6B">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chineseCounting"/>
      <w:suff w:val="nothing"/>
      <w:lvlText w:val="（%1）"/>
      <w:lvlJc w:val="left"/>
    </w:lvl>
  </w:abstractNum>
  <w:abstractNum w:abstractNumId="1">
    <w:nsid w:val="19213434"/>
    <w:multiLevelType w:val="hybridMultilevel"/>
    <w:tmpl w:val="850C98E2"/>
    <w:lvl w:ilvl="0" w:tplc="6C964188">
      <w:start w:val="1"/>
      <w:numFmt w:val="japaneseCounting"/>
      <w:lvlText w:val="第%1章"/>
      <w:lvlJc w:val="left"/>
      <w:pPr>
        <w:tabs>
          <w:tab w:val="num" w:pos="1080"/>
        </w:tabs>
        <w:ind w:left="1080" w:hanging="108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40B34A06"/>
    <w:multiLevelType w:val="multilevel"/>
    <w:tmpl w:val="38883AD0"/>
    <w:lvl w:ilvl="0">
      <w:start w:val="2"/>
      <w:numFmt w:val="japaneseCounting"/>
      <w:lvlText w:val="第%1章"/>
      <w:lvlJc w:val="left"/>
      <w:pPr>
        <w:tabs>
          <w:tab w:val="num" w:pos="1170"/>
        </w:tabs>
        <w:ind w:left="1170" w:hanging="1170"/>
      </w:pPr>
      <w:rPr>
        <w:rFonts w:ascii="黑体" w:eastAsia="黑体" w:hAnsi="黑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57CE0931"/>
    <w:multiLevelType w:val="singleLevel"/>
    <w:tmpl w:val="57CE0931"/>
    <w:lvl w:ilvl="0">
      <w:start w:val="1"/>
      <w:numFmt w:val="chineseCounting"/>
      <w:suff w:val="space"/>
      <w:lvlText w:val="第%1章"/>
      <w:lvlJc w:val="left"/>
    </w:lvl>
  </w:abstractNum>
  <w:abstractNum w:abstractNumId="4">
    <w:nsid w:val="57EB77C2"/>
    <w:multiLevelType w:val="singleLevel"/>
    <w:tmpl w:val="57EB77C2"/>
    <w:lvl w:ilvl="0">
      <w:start w:val="1"/>
      <w:numFmt w:val="chineseCounting"/>
      <w:suff w:val="space"/>
      <w:lvlText w:val="第%1章"/>
      <w:lvlJc w:val="left"/>
    </w:lvl>
  </w:abstractNum>
  <w:abstractNum w:abstractNumId="5">
    <w:nsid w:val="57EB805B"/>
    <w:multiLevelType w:val="singleLevel"/>
    <w:tmpl w:val="57EB805B"/>
    <w:lvl w:ilvl="0">
      <w:start w:val="2"/>
      <w:numFmt w:val="chineseCounting"/>
      <w:suff w:val="space"/>
      <w:lvlText w:val="第%1章"/>
      <w:lvlJc w:val="left"/>
    </w:lvl>
  </w:abstractNum>
  <w:abstractNum w:abstractNumId="6">
    <w:nsid w:val="57EB8148"/>
    <w:multiLevelType w:val="singleLevel"/>
    <w:tmpl w:val="57EB8148"/>
    <w:lvl w:ilvl="0">
      <w:start w:val="16"/>
      <w:numFmt w:val="chineseCounting"/>
      <w:suff w:val="nothing"/>
      <w:lvlText w:val="第%1条"/>
      <w:lvlJc w:val="left"/>
    </w:lvl>
  </w:abstractNum>
  <w:abstractNum w:abstractNumId="7">
    <w:nsid w:val="57EB81FC"/>
    <w:multiLevelType w:val="singleLevel"/>
    <w:tmpl w:val="57EB81FC"/>
    <w:lvl w:ilvl="0">
      <w:start w:val="1"/>
      <w:numFmt w:val="chineseCounting"/>
      <w:suff w:val="nothing"/>
      <w:lvlText w:val="（%1）"/>
      <w:lvlJc w:val="left"/>
    </w:lvl>
  </w:abstractNum>
  <w:abstractNum w:abstractNumId="8">
    <w:nsid w:val="57EB8265"/>
    <w:multiLevelType w:val="singleLevel"/>
    <w:tmpl w:val="57EB8265"/>
    <w:lvl w:ilvl="0">
      <w:start w:val="1"/>
      <w:numFmt w:val="chineseCounting"/>
      <w:suff w:val="nothing"/>
      <w:lvlText w:val="（%1）"/>
      <w:lvlJc w:val="left"/>
    </w:lvl>
  </w:abstractNum>
  <w:abstractNum w:abstractNumId="9">
    <w:nsid w:val="57EB8390"/>
    <w:multiLevelType w:val="singleLevel"/>
    <w:tmpl w:val="57EB8390"/>
    <w:lvl w:ilvl="0">
      <w:start w:val="1"/>
      <w:numFmt w:val="chineseCounting"/>
      <w:suff w:val="space"/>
      <w:lvlText w:val="第%1章"/>
      <w:lvlJc w:val="left"/>
    </w:lvl>
  </w:abstractNum>
  <w:abstractNum w:abstractNumId="10">
    <w:nsid w:val="62CE43CC"/>
    <w:multiLevelType w:val="hybridMultilevel"/>
    <w:tmpl w:val="4302F59A"/>
    <w:lvl w:ilvl="0" w:tplc="70D86C9E">
      <w:start w:val="3"/>
      <w:numFmt w:val="japaneseCounting"/>
      <w:lvlText w:val="第%1章"/>
      <w:lvlJc w:val="left"/>
      <w:pPr>
        <w:tabs>
          <w:tab w:val="num" w:pos="1080"/>
        </w:tabs>
        <w:ind w:left="1080" w:hanging="108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1">
    <w:nsid w:val="71B73CBD"/>
    <w:multiLevelType w:val="hybridMultilevel"/>
    <w:tmpl w:val="4732AE68"/>
    <w:lvl w:ilvl="0" w:tplc="5FBAE328">
      <w:start w:val="1"/>
      <w:numFmt w:val="japaneseCounting"/>
      <w:lvlText w:val="第%1章"/>
      <w:lvlJc w:val="left"/>
      <w:pPr>
        <w:tabs>
          <w:tab w:val="num" w:pos="1935"/>
        </w:tabs>
        <w:ind w:left="1935" w:hanging="1125"/>
      </w:pPr>
      <w:rPr>
        <w:rFonts w:ascii="楷体_GB2312" w:eastAsia="楷体_GB2312" w:hint="eastAsia"/>
      </w:rPr>
    </w:lvl>
    <w:lvl w:ilvl="1" w:tplc="04090019">
      <w:start w:val="1"/>
      <w:numFmt w:val="lowerLetter"/>
      <w:lvlText w:val="%2)"/>
      <w:lvlJc w:val="left"/>
      <w:pPr>
        <w:tabs>
          <w:tab w:val="num" w:pos="1650"/>
        </w:tabs>
        <w:ind w:left="1650" w:hanging="420"/>
      </w:pPr>
    </w:lvl>
    <w:lvl w:ilvl="2" w:tplc="0409001B">
      <w:start w:val="1"/>
      <w:numFmt w:val="lowerRoman"/>
      <w:lvlText w:val="%3."/>
      <w:lvlJc w:val="right"/>
      <w:pPr>
        <w:tabs>
          <w:tab w:val="num" w:pos="2070"/>
        </w:tabs>
        <w:ind w:left="2070" w:hanging="420"/>
      </w:pPr>
    </w:lvl>
    <w:lvl w:ilvl="3" w:tplc="0409000F">
      <w:start w:val="1"/>
      <w:numFmt w:val="decimal"/>
      <w:lvlText w:val="%4."/>
      <w:lvlJc w:val="left"/>
      <w:pPr>
        <w:tabs>
          <w:tab w:val="num" w:pos="2490"/>
        </w:tabs>
        <w:ind w:left="2490" w:hanging="420"/>
      </w:pPr>
    </w:lvl>
    <w:lvl w:ilvl="4" w:tplc="04090019">
      <w:start w:val="1"/>
      <w:numFmt w:val="lowerLetter"/>
      <w:lvlText w:val="%5)"/>
      <w:lvlJc w:val="left"/>
      <w:pPr>
        <w:tabs>
          <w:tab w:val="num" w:pos="2910"/>
        </w:tabs>
        <w:ind w:left="2910" w:hanging="420"/>
      </w:pPr>
    </w:lvl>
    <w:lvl w:ilvl="5" w:tplc="0409001B">
      <w:start w:val="1"/>
      <w:numFmt w:val="lowerRoman"/>
      <w:lvlText w:val="%6."/>
      <w:lvlJc w:val="right"/>
      <w:pPr>
        <w:tabs>
          <w:tab w:val="num" w:pos="3330"/>
        </w:tabs>
        <w:ind w:left="3330" w:hanging="420"/>
      </w:pPr>
    </w:lvl>
    <w:lvl w:ilvl="6" w:tplc="0409000F">
      <w:start w:val="1"/>
      <w:numFmt w:val="decimal"/>
      <w:lvlText w:val="%7."/>
      <w:lvlJc w:val="left"/>
      <w:pPr>
        <w:tabs>
          <w:tab w:val="num" w:pos="3750"/>
        </w:tabs>
        <w:ind w:left="3750" w:hanging="420"/>
      </w:pPr>
    </w:lvl>
    <w:lvl w:ilvl="7" w:tplc="04090019">
      <w:start w:val="1"/>
      <w:numFmt w:val="lowerLetter"/>
      <w:lvlText w:val="%8)"/>
      <w:lvlJc w:val="left"/>
      <w:pPr>
        <w:tabs>
          <w:tab w:val="num" w:pos="4170"/>
        </w:tabs>
        <w:ind w:left="4170" w:hanging="420"/>
      </w:pPr>
    </w:lvl>
    <w:lvl w:ilvl="8" w:tplc="0409001B">
      <w:start w:val="1"/>
      <w:numFmt w:val="lowerRoman"/>
      <w:lvlText w:val="%9."/>
      <w:lvlJc w:val="right"/>
      <w:pPr>
        <w:tabs>
          <w:tab w:val="num" w:pos="4590"/>
        </w:tabs>
        <w:ind w:left="4590" w:hanging="420"/>
      </w:pPr>
    </w:lvl>
  </w:abstractNum>
  <w:num w:numId="1">
    <w:abstractNumId w:val="3"/>
  </w:num>
  <w:num w:numId="2">
    <w:abstractNumId w:val="2"/>
  </w:num>
  <w:num w:numId="3">
    <w:abstractNumId w:val="11"/>
  </w:num>
  <w:num w:numId="4">
    <w:abstractNumId w:val="10"/>
  </w:num>
  <w:num w:numId="5">
    <w:abstractNumId w:val="0"/>
  </w:num>
  <w:num w:numId="6">
    <w:abstractNumId w:val="4"/>
  </w:num>
  <w:num w:numId="7">
    <w:abstractNumId w:val="1"/>
  </w:num>
  <w:num w:numId="8">
    <w:abstractNumId w:val="5"/>
  </w:num>
  <w:num w:numId="9">
    <w:abstractNumId w:val="6"/>
  </w:num>
  <w:num w:numId="10">
    <w:abstractNumId w:val="7"/>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22393"/>
    <w:rsid w:val="00031D3A"/>
    <w:rsid w:val="000458D1"/>
    <w:rsid w:val="000C1B87"/>
    <w:rsid w:val="00117BB5"/>
    <w:rsid w:val="001363E7"/>
    <w:rsid w:val="00192EBD"/>
    <w:rsid w:val="002263E6"/>
    <w:rsid w:val="0034066C"/>
    <w:rsid w:val="00355269"/>
    <w:rsid w:val="003E6D53"/>
    <w:rsid w:val="004A479F"/>
    <w:rsid w:val="004A7168"/>
    <w:rsid w:val="004B492C"/>
    <w:rsid w:val="004C128C"/>
    <w:rsid w:val="005403FD"/>
    <w:rsid w:val="00542540"/>
    <w:rsid w:val="00556C90"/>
    <w:rsid w:val="005E12EE"/>
    <w:rsid w:val="00642164"/>
    <w:rsid w:val="0068631D"/>
    <w:rsid w:val="006867DA"/>
    <w:rsid w:val="0073408F"/>
    <w:rsid w:val="00745376"/>
    <w:rsid w:val="00746969"/>
    <w:rsid w:val="00777B95"/>
    <w:rsid w:val="00784E1D"/>
    <w:rsid w:val="007B2458"/>
    <w:rsid w:val="007F1195"/>
    <w:rsid w:val="00834725"/>
    <w:rsid w:val="0084127D"/>
    <w:rsid w:val="00882EE7"/>
    <w:rsid w:val="008A2943"/>
    <w:rsid w:val="008C4C44"/>
    <w:rsid w:val="008C5203"/>
    <w:rsid w:val="008F0F84"/>
    <w:rsid w:val="00A836D0"/>
    <w:rsid w:val="00B9141A"/>
    <w:rsid w:val="00BD002D"/>
    <w:rsid w:val="00C14D85"/>
    <w:rsid w:val="00C97BC3"/>
    <w:rsid w:val="00CC09C8"/>
    <w:rsid w:val="00CF0282"/>
    <w:rsid w:val="00CF2B6B"/>
    <w:rsid w:val="00D331EC"/>
    <w:rsid w:val="00D41479"/>
    <w:rsid w:val="00DD0DD4"/>
    <w:rsid w:val="00E106AE"/>
    <w:rsid w:val="00F04655"/>
    <w:rsid w:val="00F36389"/>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F86C85"/>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F86C8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12</Pages>
  <Words>718</Words>
  <Characters>4093</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松桃苗族自治县新型农村合作医疗条例</dc:title>
  <dc:subject/>
  <dc:creator>Microsoft</dc:creator>
  <cp:keywords/>
  <dc:description/>
  <cp:lastModifiedBy>Windows 用户</cp:lastModifiedBy>
  <cp:revision>2</cp:revision>
  <cp:lastPrinted>2011-10-10T07:32:00Z</cp:lastPrinted>
  <dcterms:created xsi:type="dcterms:W3CDTF">2017-03-14T06:17:00Z</dcterms:created>
  <dcterms:modified xsi:type="dcterms:W3CDTF">2017-03-14T06:17:00Z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