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安徽省人民代表大会常务委员会关于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省人民政府、省高级人民法院、省人民检察院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工作人员任前审查和任后监督的规定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227" w:beforeLines="50"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（2014年5月21日安徽省第十二届人民代表大会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规范省人民代表大会常务委员会（以下简称省人大常委会）对省人民政府、省高级人民法院、省人民检察院（以下简称“一府两院”）工作人员的任前审查和任后监督工作，根据《中华人民共和国地方各级人民代表大会和地方各级人民政府组织法》、《中华人民共和国各级人民代表大会常务委员会监督法》等法律、法规，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任前审查和任后监督的对象为提请省人大常委会任命的省人民政府秘书长以及组成部门主要负责人，省高级人民法院副院长、审判委员会委员、庭长、副庭长、审判员，省人民检察院副检察长、检察委员会委员、检察员以及派出检察院检察长、副检察长、检察委员会委员、检察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省人大常委会人事任免工作机构（以下简称任免工作机构）承担任前审查和任后监督的具体工作。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省人大常委会对提请任命的“一府两院”工作人员的任前审查，按照初步审查、法律知识考试、省人大常委会主任会议（以下简称主任会议）听取汇报、提请省人大常委会会议审议等程序进行。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提请机关应当在省人大常委会会议召开十五日前将人事任免案报送任免工作机构。人事任免案应当附有提请任命人员简历、现实表现等内容的书面材料。书面材料应当如实反映提请任命人员的基本情况，全面、客观、准确地反映其德、能、勤、绩、廉等方面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提请机关报送的书面材料不符合要求的，任免工作机构应当告知其予以修改、补充。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任免工作机构对提请机关报送的法官、检察官拟任命人员的书面材料进行初步审查时，应当依法对其是否具有法律专业知识、从事法律工作以及通过国家司法考试等情况进行审查。凡不具备法律规定的法官、检察官任职资格条件的，不得提请省人大常委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公民、法人或者其他组织向省人大常委会反映的涉及拟任命人员存在的问题，由任免工作机构转交提请机关按照干部管理权限调查处理。提请机关应当在其调查处理后或者接到有关机关调查处理结果后十日内，将调查处理结果书面反馈任免工作机构。对实名举报的，任免工作机构应当在收到调查处理情况后十日内，以适当方式向举报人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提请机关或者有关机关作出调查结论前，相关人事任免案暂不提请省人大常委会审议。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任免工作机构应当在主任会议召开前对拟任命人员进行法律知识考试，考试成绩合格者方可提请任命。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任免工作机构初步审查后，应当向主任会议提出初步审查意见，由主任会议决定是否提请省人大常委会本次会议审议。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省人大常委会任命的省人民政府秘书长以及组成部门主要负责人，省高级人民法院副院长、审判委员会委员，省人民检察院副检察长、检察委员会委员，每年应当向省人大常委会书面述职；经主任会议研究，也可以在省人大常委会会议上口头述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省人大常委会任命的其他法官、检察官每五年至少应当向省人大常委会书面述职一次。每年述职的具体人员由任免工作机构商省高级人民法院、省人民检察院有关工作机构确定。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述职报告印发省人大常委会组成人员，口头述职报告在常委会分组会议上进行审议。组成人员对书面述职报告的意见和口头述职报告的审议意见，由任免工作机构汇总，向主任会议报告后，交有关机关研究处理，并向述职人员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述职报告主要包括：遵守和执行宪法、法律、法规以及全国、省人民代表大会及其常务委员会决议、决定情况，履行职责情况，勤政廉政情况等。省人民政府秘书长以及组成部门主要负责人还应当报告办理省人民代表大会代表（以下简称省人大代表）提出的建议、批评和意见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省人大常委会在开展听取和审议专项工作报告、执法检查、专题询问或者工作评议等工作后，省人大常委会有关工作机构应当及时将有关审议意见书、满意度测评结果、执法检查报告等，交由任免工作机构按照干部管理权限书面通报相关机关，作为相关机关了解、考察“一府两院”工作人员履职情况以及选拔任用的重要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省人大常委会在听取和审议专项工作报告、执法检查、专题询问、工作评议或者代表视察、专题调研等过程中，对反映涉及省人大常委会任命的“一府两院”工作人员在履职中存在的问题，应当要求其作出说明，并提出整改措施；人民群众或者人大代表反映强烈、意见比较集中的，应当转交有关机关调查处理。有关机关应当在调查处理后十日内将相关情况等书面通报任免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省人大代表对省人大常委会任命的“一府两院”工作人员提出的建议、批评和意见，由任免工作机构交有关机关按照《安徽省办理人民代表大会代表建议、批评和意见的规定》办理。有关机关应当书面答复省人大代表，并抄送任免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公民、法人或者其他组织向省人大常委会反映涉及省人大常委会任命的“一府两院”工作人员职务行为的问题，按照本规定第七条第一款规定的程序办理。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有关机关对省人民政府组成部门、省高级人民法院、省人民检察院进行的机关效能建设、政风行风评议等检查、考评或者考核情况，以及对省人大常委会任命的“一府两院”工作人员进行年度考核的结果、经济责任审计报告等情况，应当在结果确定后十日内书面通报任免工作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省人大常委会任命的“一府两院”工作人员受到党纪政纪处分或者行政处罚的，有关机关应当于处分或者处罚决定生效后十日内，将处理决定抄送任免工作机构。“一府两院”工作人员应受降级、撤职等处分的，有关机关应当及时提请省人大常委会免职或者撤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本规定第七条第一款、第十三条、第十五条、第十六条、第十七条规定的有关机关向任免工作机构反馈、通报的相关内容，任免工作机构根据情况向主任会议报告。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省人大常委会对任命的“一府两院”工作人员履行职责情况，可以采取询问、质询、组织特定问题的调查委员会等方式依法进行监督。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设区的市和县（市、区）人大常委会对本级人民政府、人民法院、人民检察院工作人员的任前审查和任后监督，可以参照本规定执行。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本规定自2014年7月1日起施行。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09D7C33"/>
    <w:rsid w:val="01092C8A"/>
    <w:rsid w:val="014A7FF9"/>
    <w:rsid w:val="05EE7776"/>
    <w:rsid w:val="079F117E"/>
    <w:rsid w:val="07A83C4C"/>
    <w:rsid w:val="0A1B25B4"/>
    <w:rsid w:val="0DBA3390"/>
    <w:rsid w:val="0DDC0A3D"/>
    <w:rsid w:val="0E3909E7"/>
    <w:rsid w:val="1063786B"/>
    <w:rsid w:val="11487D4E"/>
    <w:rsid w:val="14470207"/>
    <w:rsid w:val="17252A4E"/>
    <w:rsid w:val="184938DB"/>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5EE4D7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