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F9C4C7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六盘水市乌蒙大草原景区保护条例</w:t>
      </w:r>
    </w:p>
    <w:p w14:paraId="4ADBC49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（2024年8月16日六盘水市第九届人民代表大会常务委员会第十七次会议通过　2024年9月25日贵州省第十四届人民代表大会常务委员会第十二次会议批准）</w:t>
      </w:r>
    </w:p>
    <w:p w14:paraId="600696EF">
      <w:pPr>
        <w:rPr>
          <w:rFonts w:ascii="Times New Roman" w:hAnsi="Times New Roman" w:eastAsia="宋体" w:cs="宋体"/>
          <w:szCs w:val="32"/>
        </w:rPr>
      </w:pPr>
      <w:bookmarkStart w:id="0" w:name="_GoBack"/>
      <w:bookmarkEnd w:id="0"/>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盘州市坡上草原风景名胜区乌蒙大草原景区管理，有效保护和合理利用风景名胜资源，促进风景名胜区可持续发展，根据《风景名胜区条例》《贵州省风景名胜区条例》等法律、法规的规定，结合本市实际，制定本条例。</w:t>
      </w:r>
    </w:p>
    <w:p w14:paraId="61B37A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乌蒙大草原景区的保护、利用和管理适用本条例。</w:t>
      </w:r>
    </w:p>
    <w:p w14:paraId="0A924ED4">
      <w:pPr>
        <w:ind w:firstLine="632" w:firstLineChars="200"/>
        <w:rPr>
          <w:rFonts w:ascii="Times New Roman" w:hAnsi="Times New Roman" w:cs="仿宋_GB2312"/>
          <w:sz w:val="32"/>
          <w:szCs w:val="32"/>
        </w:rPr>
      </w:pPr>
      <w:r>
        <w:rPr>
          <w:rFonts w:hint="eastAsia" w:ascii="Times New Roman" w:hAnsi="Times New Roman" w:cs="仿宋_GB2312"/>
          <w:sz w:val="32"/>
          <w:szCs w:val="32"/>
        </w:rPr>
        <w:t>乌蒙大草原景区（以下简称景区）具体范围、界线坐标和功能分区，按照省人民政府批准的盘州市坡上草原风景名胜区总体规划确定。</w:t>
      </w:r>
    </w:p>
    <w:p w14:paraId="1921AC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景区的保护、利用和管理等活动，应当遵循保护优先、综合治理、永续利用、绿色发展的原则。</w:t>
      </w:r>
    </w:p>
    <w:p w14:paraId="3E397E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六盘水市人民政府负责统筹景区的保护、利用和管理工作，协调解决重大问题。</w:t>
      </w:r>
    </w:p>
    <w:p w14:paraId="6C59B93F">
      <w:pPr>
        <w:ind w:firstLine="632" w:firstLineChars="200"/>
        <w:rPr>
          <w:rFonts w:ascii="Times New Roman" w:hAnsi="Times New Roman" w:cs="仿宋_GB2312"/>
          <w:sz w:val="32"/>
          <w:szCs w:val="32"/>
        </w:rPr>
      </w:pPr>
      <w:r>
        <w:rPr>
          <w:rFonts w:hint="eastAsia" w:ascii="Times New Roman" w:hAnsi="Times New Roman" w:cs="仿宋_GB2312"/>
          <w:sz w:val="32"/>
          <w:szCs w:val="32"/>
        </w:rPr>
        <w:t>盘州市人民政府应当按照职能职责做好景区的保护、利用和管理工作。</w:t>
      </w:r>
    </w:p>
    <w:p w14:paraId="22684796">
      <w:pPr>
        <w:ind w:firstLine="632" w:firstLineChars="200"/>
        <w:rPr>
          <w:rFonts w:ascii="Times New Roman" w:hAnsi="Times New Roman" w:cs="仿宋_GB2312"/>
          <w:sz w:val="32"/>
          <w:szCs w:val="32"/>
        </w:rPr>
      </w:pPr>
      <w:r>
        <w:rPr>
          <w:rFonts w:hint="eastAsia" w:ascii="Times New Roman" w:hAnsi="Times New Roman" w:cs="仿宋_GB2312"/>
          <w:sz w:val="32"/>
          <w:szCs w:val="32"/>
        </w:rPr>
        <w:t>盘州市人民政府有关部门、乡镇人民政府，按照各自职责做好景区保护的相关工作。</w:t>
      </w:r>
    </w:p>
    <w:p w14:paraId="409E3786">
      <w:pPr>
        <w:ind w:firstLine="632" w:firstLineChars="200"/>
        <w:rPr>
          <w:rFonts w:ascii="Times New Roman" w:hAnsi="Times New Roman" w:cs="仿宋_GB2312"/>
          <w:sz w:val="32"/>
          <w:szCs w:val="32"/>
        </w:rPr>
      </w:pPr>
      <w:r>
        <w:rPr>
          <w:rFonts w:hint="eastAsia" w:ascii="Times New Roman" w:hAnsi="Times New Roman" w:cs="仿宋_GB2312"/>
          <w:sz w:val="32"/>
          <w:szCs w:val="32"/>
        </w:rPr>
        <w:t>盘州市坡上草原风景名胜区管理机构具体负责景区的保护、利用和统一管理工作。</w:t>
      </w:r>
    </w:p>
    <w:p w14:paraId="7B7DDF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盘州市人民政府应当将乌蒙大草原保护情况作为年度环境状况和环境保护目标完成情况的重要内容，向盘州市人民代表大会常务委员会报告。</w:t>
      </w:r>
    </w:p>
    <w:p w14:paraId="476BB4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任何单位和个人都有保护风景名胜资源的义务，并有权制止、检举破坏风景名胜资源的行为。</w:t>
      </w:r>
    </w:p>
    <w:p w14:paraId="14F7EE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对在景区保护中做出显著成绩的单位和个人，按照国家和省有关规定给予表彰、奖励。</w:t>
      </w:r>
    </w:p>
    <w:p w14:paraId="44089E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经批准的盘州市坡上草原风景名胜区规划是乌蒙大草原景区保护、建设、利用和管理的依据，应当严格执行。</w:t>
      </w:r>
    </w:p>
    <w:p w14:paraId="5CC9BF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盘州市人民政府应当根据景区内的自然资源、生态环境调查情况，对生态脆弱、退化严重的林地、草地、湿地等采取封禁治理、补植补种等措施，促进景区林、草、湿地等植被恢复，预防和减少水土流失，防治生态退化。</w:t>
      </w:r>
    </w:p>
    <w:p w14:paraId="1A9243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经批准在景区内进行建设活动的，建设单位、施工单位应当制定污染防治和水土保持方案，并采取有效措施，保护好周围景物、水体、林草植被、野生动物资源、地形地貌和生态环境。</w:t>
      </w:r>
    </w:p>
    <w:p w14:paraId="5B3A4B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景区内禁止下列行为：</w:t>
      </w:r>
    </w:p>
    <w:p w14:paraId="3B7B6E19">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（一）在游览区及保护区内砍柴、放牧；</w:t>
      </w:r>
    </w:p>
    <w:p w14:paraId="75FDFEE8">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（二）采摘杜鹃花，擅自砍伐、移植杜鹃树木；</w:t>
      </w:r>
    </w:p>
    <w:p w14:paraId="65B066B0">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（三）擅自采集泥炭、泥炭藓、金发藓等特有植物植被或者揭取草皮、采挖腐殖土；</w:t>
      </w:r>
    </w:p>
    <w:p w14:paraId="77B50F2E">
      <w:pPr>
        <w:ind w:firstLine="632" w:firstLineChars="200"/>
        <w:rPr>
          <w:rFonts w:ascii="Times New Roman" w:hAnsi="Times New Roman" w:cs="仿宋_GB2312"/>
          <w:sz w:val="32"/>
          <w:szCs w:val="32"/>
        </w:rPr>
      </w:pPr>
      <w:r>
        <w:rPr>
          <w:rFonts w:hint="eastAsia" w:ascii="Times New Roman" w:hAnsi="Times New Roman" w:cs="仿宋_GB2312"/>
          <w:sz w:val="32"/>
          <w:szCs w:val="32"/>
        </w:rPr>
        <w:t>（四）猎捕、收购、贩运各类野生动物；</w:t>
      </w:r>
    </w:p>
    <w:p w14:paraId="56229909">
      <w:pPr>
        <w:ind w:firstLine="632" w:firstLineChars="200"/>
        <w:rPr>
          <w:rFonts w:ascii="Times New Roman" w:hAnsi="Times New Roman" w:cs="仿宋_GB2312"/>
          <w:sz w:val="32"/>
          <w:szCs w:val="32"/>
        </w:rPr>
      </w:pPr>
      <w:r>
        <w:rPr>
          <w:rFonts w:hint="eastAsia" w:ascii="Times New Roman" w:hAnsi="Times New Roman" w:cs="仿宋_GB2312"/>
          <w:sz w:val="32"/>
          <w:szCs w:val="32"/>
        </w:rPr>
        <w:t>（五）开山、采石、开矿、开荒、修坟立碑等破坏景观、植被和地形地貌的活动；</w:t>
      </w:r>
    </w:p>
    <w:p w14:paraId="2C66D488">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（六）在禁火区内焚香、烧纸、吸烟、燃放烟花爆竹、用火；</w:t>
      </w:r>
    </w:p>
    <w:p w14:paraId="6621B393">
      <w:pPr>
        <w:ind w:firstLine="632" w:firstLineChars="200"/>
        <w:rPr>
          <w:rFonts w:ascii="Times New Roman" w:hAnsi="Times New Roman" w:cs="仿宋_GB2312"/>
          <w:sz w:val="32"/>
          <w:szCs w:val="32"/>
        </w:rPr>
      </w:pPr>
      <w:r>
        <w:rPr>
          <w:rFonts w:hint="eastAsia" w:ascii="Times New Roman" w:hAnsi="Times New Roman" w:cs="仿宋_GB2312"/>
          <w:sz w:val="32"/>
          <w:szCs w:val="32"/>
        </w:rPr>
        <w:t>（七）损坏景物、公共设施，在景物或者设施上刻划、涂污；</w:t>
      </w:r>
    </w:p>
    <w:p w14:paraId="2CA17B4E">
      <w:pPr>
        <w:ind w:firstLine="632" w:firstLineChars="200"/>
        <w:rPr>
          <w:rFonts w:ascii="Times New Roman" w:hAnsi="Times New Roman" w:cs="仿宋_GB2312"/>
          <w:sz w:val="32"/>
          <w:szCs w:val="32"/>
        </w:rPr>
      </w:pPr>
      <w:r>
        <w:rPr>
          <w:rFonts w:hint="eastAsia" w:ascii="Times New Roman" w:hAnsi="Times New Roman" w:cs="仿宋_GB2312"/>
          <w:sz w:val="32"/>
          <w:szCs w:val="32"/>
        </w:rPr>
        <w:t>（八）乱扔垃圾；</w:t>
      </w:r>
    </w:p>
    <w:p w14:paraId="4CF68879">
      <w:pPr>
        <w:ind w:firstLine="632" w:firstLineChars="200"/>
        <w:rPr>
          <w:rFonts w:ascii="Times New Roman" w:hAnsi="Times New Roman" w:cs="仿宋_GB2312"/>
          <w:sz w:val="32"/>
          <w:szCs w:val="32"/>
        </w:rPr>
      </w:pPr>
      <w:r>
        <w:rPr>
          <w:rFonts w:hint="eastAsia" w:ascii="Times New Roman" w:hAnsi="Times New Roman" w:cs="仿宋_GB2312"/>
          <w:sz w:val="32"/>
          <w:szCs w:val="32"/>
        </w:rPr>
        <w:t>（九）车辆进入非道路区域行驶、停放；</w:t>
      </w:r>
    </w:p>
    <w:p w14:paraId="53454E2D">
      <w:pPr>
        <w:ind w:firstLine="632" w:firstLineChars="200"/>
        <w:rPr>
          <w:rFonts w:ascii="Times New Roman" w:hAnsi="Times New Roman" w:cs="仿宋_GB2312"/>
          <w:sz w:val="32"/>
          <w:szCs w:val="32"/>
        </w:rPr>
      </w:pPr>
      <w:r>
        <w:rPr>
          <w:rFonts w:hint="eastAsia" w:ascii="Times New Roman" w:hAnsi="Times New Roman" w:cs="仿宋_GB2312"/>
          <w:sz w:val="32"/>
          <w:szCs w:val="32"/>
        </w:rPr>
        <w:t>（十）擅自引进、释放或者丢弃外来物种；</w:t>
      </w:r>
    </w:p>
    <w:p w14:paraId="6FB11C2F">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（十一）法律、法规禁止的其他行为。</w:t>
      </w:r>
    </w:p>
    <w:p w14:paraId="7776E97B">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前款第九项行为，因抢险救灾、应急救援以及经依法批准开展地质勘探、科学考察等活动的车辆除外。</w:t>
      </w:r>
    </w:p>
    <w:p w14:paraId="6C18C5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禁止违反风景名胜区规划，在景区内设立各类开发区和在核心景区内建设宾馆、招待所、培训中心、疗养院以及与风景名胜资源保护无关的其他建筑物；已经建设的，应当按照风景名胜区规划，逐步迁出。</w:t>
      </w:r>
    </w:p>
    <w:p w14:paraId="49FA87DE">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禁止出让或者变相出让风景名胜资源及核心景区土地。</w:t>
      </w:r>
    </w:p>
    <w:p w14:paraId="65DDC1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在景区内从事下列活动，应当依照相关法律、法规的规定报有关主管部门批准：</w:t>
      </w:r>
    </w:p>
    <w:p w14:paraId="6D048059">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（一）设置、张贴商业广告；</w:t>
      </w:r>
    </w:p>
    <w:p w14:paraId="4A73A2F3">
      <w:pPr>
        <w:ind w:firstLine="632" w:firstLineChars="200"/>
        <w:rPr>
          <w:rFonts w:ascii="Times New Roman" w:hAnsi="Times New Roman" w:cs="仿宋_GB2312"/>
          <w:sz w:val="32"/>
          <w:szCs w:val="32"/>
        </w:rPr>
      </w:pPr>
      <w:r>
        <w:rPr>
          <w:rFonts w:hint="eastAsia" w:ascii="Times New Roman" w:hAnsi="Times New Roman" w:cs="仿宋_GB2312"/>
          <w:sz w:val="32"/>
          <w:szCs w:val="32"/>
        </w:rPr>
        <w:t>（二）举办大型游乐等活动；</w:t>
      </w:r>
    </w:p>
    <w:p w14:paraId="1F6BDF51">
      <w:pPr>
        <w:ind w:firstLine="632" w:firstLineChars="200"/>
        <w:rPr>
          <w:rFonts w:ascii="Times New Roman" w:hAnsi="Times New Roman" w:cs="仿宋_GB2312"/>
          <w:sz w:val="32"/>
          <w:szCs w:val="32"/>
        </w:rPr>
      </w:pPr>
      <w:r>
        <w:rPr>
          <w:rFonts w:hint="eastAsia" w:ascii="Times New Roman" w:hAnsi="Times New Roman" w:cs="仿宋_GB2312"/>
          <w:sz w:val="32"/>
          <w:szCs w:val="32"/>
        </w:rPr>
        <w:t>（三）改变水资源、水环境自然状态的活动；</w:t>
      </w:r>
    </w:p>
    <w:p w14:paraId="129AE8F9">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（四）其他可能影响生态和景观的活动。</w:t>
      </w:r>
    </w:p>
    <w:p w14:paraId="667769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风景名胜区管理机构应当在景区内设置路标、导览图、安全警示、文明旅游等标志，完善供水、供电、道路、通信、环卫、游览等基础设施建设。</w:t>
      </w:r>
    </w:p>
    <w:p w14:paraId="3011D0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风景名胜区管理机构应当科学核定并公布景区的游览路线和游客、车辆承载量，制定和实施客流量、车流量控制方案，及时发布承载预警信息。</w:t>
      </w:r>
    </w:p>
    <w:p w14:paraId="0012FA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任何单位和个人不得围填堵塞水面，不得违规取水用水，不得擅自改变水资源、水环境自然状态，不得擅自改变现状或者向水体排放废水、倾倒垃圾和其他污染物。</w:t>
      </w:r>
    </w:p>
    <w:p w14:paraId="430DBD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任何单位和个人未经批准不得在景区内开展经营活动。从事摆摊、设点等活动的经营者，应当按照安全、卫生、环保等要求，在风景名胜区管理机构确定的地点和范围内开展经营活动。</w:t>
      </w:r>
    </w:p>
    <w:p w14:paraId="2F96F0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风景名胜区管理机构应当划设专门的骑乘观光线路，任何单位或者个人不得在骑乘观光线路外开展骑乘经营活动。</w:t>
      </w:r>
    </w:p>
    <w:p w14:paraId="244F498C">
      <w:pPr>
        <w:ind w:firstLine="632" w:firstLineChars="200"/>
        <w:rPr>
          <w:rFonts w:ascii="Times New Roman" w:hAnsi="Times New Roman" w:cs="仿宋_GB2312"/>
          <w:sz w:val="32"/>
          <w:szCs w:val="32"/>
        </w:rPr>
      </w:pPr>
      <w:r>
        <w:rPr>
          <w:rFonts w:hint="eastAsia" w:ascii="Times New Roman" w:hAnsi="Times New Roman" w:cs="仿宋_GB2312"/>
          <w:sz w:val="32"/>
          <w:szCs w:val="32"/>
        </w:rPr>
        <w:t>风景名胜区管理机构根据规划和旅游开发实际，可以划定露营活动区域，在划定的区域外不得开展野营露营活动。</w:t>
      </w:r>
    </w:p>
    <w:p w14:paraId="57C36B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进入景区的门票由风景名胜区管理机构负责出售。</w:t>
      </w:r>
    </w:p>
    <w:p w14:paraId="2828CFCD">
      <w:pPr>
        <w:ind w:firstLine="632" w:firstLineChars="200"/>
        <w:rPr>
          <w:rFonts w:ascii="Times New Roman" w:hAnsi="Times New Roman" w:cs="仿宋_GB2312"/>
          <w:sz w:val="32"/>
          <w:szCs w:val="32"/>
        </w:rPr>
      </w:pPr>
      <w:r>
        <w:rPr>
          <w:rFonts w:hint="eastAsia" w:ascii="Times New Roman" w:hAnsi="Times New Roman" w:cs="仿宋_GB2312"/>
          <w:sz w:val="32"/>
          <w:szCs w:val="32"/>
        </w:rPr>
        <w:t>门票收入实行收支两条线管理，专项用于景区的保护和管理以及景区内财产的所有权人、使用权人损失的补偿。</w:t>
      </w:r>
    </w:p>
    <w:p w14:paraId="683E0B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违反本条例第十一条第一款规定的，由县级以上人民政府林业主管部门按照下列规定予以处罚，造成损失的，依法承担民事责任：</w:t>
      </w:r>
    </w:p>
    <w:p w14:paraId="6546FD81">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（一）违反第一项规定的，给予警告，责令停止违法行为；情节严重的，并处以一百元以上五百元以下罚款。</w:t>
      </w:r>
    </w:p>
    <w:p w14:paraId="13661782">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二项规定在景区内采摘杜鹃花的，给予警告，责令停止违法行为；情节严重的，并处以每朵五十元罚款。擅自砍伐、移植杜鹃树木的，责令停止违法行为，有违法所得的，没收违法所得，并处以一万元以上五万元以下罚款；情节严重的，并处以五万元以上十万元以下罚款。</w:t>
      </w:r>
    </w:p>
    <w:p w14:paraId="39F30659">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三项规定擅自采集泥炭藓、金发藓或者揭取草皮的，处以五百元以上五千元以下罚款；情节严重的，处以五千元以上二万元以下罚款。开采泥炭、腐殖土的，没收违法所得，并按照采挖泥炭、腐殖土体积，处以每立方米二千元以上一万元以下罚款。</w:t>
      </w:r>
    </w:p>
    <w:p w14:paraId="233A06B9">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（四）违反第六项规定的，给予警告，责令停止违法行为；情节严重或者造成严重后果的，并处以一千元以上一万元以下罚款。</w:t>
      </w:r>
    </w:p>
    <w:p w14:paraId="03AA8913">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（五）违反第九项规定的，给予警告，不听劝阻的，处以一百元以上五百元以下罚款。</w:t>
      </w:r>
    </w:p>
    <w:p w14:paraId="5155C6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国家机关及其工作人员在风景名胜区规划、保护、建设、利用和管理等工作中有滥用职权、玩忽职守、徇私舞弊等行为，尚不构成犯罪的，对直接负责的主管人员和其他直接责任人员依法给予处分。</w:t>
      </w:r>
    </w:p>
    <w:p w14:paraId="1B2636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违反本条例规定，法律、法规有处罚规定的，从其规定。</w:t>
      </w:r>
    </w:p>
    <w:p w14:paraId="7577DA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本条例自2024年12月1日起施行。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733A80"/>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2427</Words>
  <Characters>2439</Characters>
  <Lines>87</Lines>
  <Paragraphs>24</Paragraphs>
  <TotalTime>4</TotalTime>
  <ScaleCrop>false</ScaleCrop>
  <LinksUpToDate>false</LinksUpToDate>
  <CharactersWithSpaces>2463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2024-10-30T09:44:56Z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FBBEEB7464894FCC89222A3F7176DF81_13</vt:lpwstr>
  </property>
  <property fmtid="{D5CDD505-2E9C-101B-9397-08002B2CF9AE}" pid="3" name="KSOProductBuildVer">
    <vt:lpwstr>2052-12.1.0.18608</vt:lpwstr>
  </property>
</Properties>
</file>