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2"/>
        <w:rPr>
          <w:rFonts w:hint="eastAsia"/>
          <w:lang w:val="en-US" w:eastAsia="zh-CN"/>
        </w:rPr>
      </w:pPr>
    </w:p>
    <w:p>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2"/>
        <w:rPr>
          <w:rFonts w:hint="eastAsia"/>
          <w:lang w:val="en-US" w:eastAsia="zh-CN"/>
        </w:rPr>
      </w:pPr>
    </w:p>
    <w:p>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2"/>
        <w:rPr>
          <w:rFonts w:hint="eastAsia"/>
          <w:lang w:val="en-US"/>
        </w:rPr>
      </w:pPr>
      <w:r>
        <w:rPr>
          <w:rFonts w:hint="eastAsia"/>
          <w:lang w:val="en-US" w:eastAsia="zh-CN"/>
        </w:rPr>
        <w:t>沈阳市民用建筑供热用热管理条例</w:t>
      </w:r>
    </w:p>
    <w:p>
      <w:pPr>
        <w:pStyle w:val="7"/>
        <w:rPr>
          <w:rFonts w:hint="eastAsia"/>
          <w:lang w:val="en-US" w:eastAsia="zh-CN"/>
        </w:rPr>
      </w:pPr>
    </w:p>
    <w:p>
      <w:pPr>
        <w:pStyle w:val="7"/>
        <w:rPr>
          <w:rFonts w:hint="eastAsia"/>
          <w:lang w:val="en-US" w:eastAsia="zh-CN"/>
        </w:rPr>
      </w:pPr>
      <w:bookmarkStart w:id="6" w:name="_GoBack"/>
      <w:bookmarkEnd w:id="6"/>
      <w:r>
        <w:rPr>
          <w:rFonts w:hint="eastAsia"/>
          <w:lang w:val="en-US" w:eastAsia="zh-CN"/>
        </w:rPr>
        <w:t>（2011年6月29日沈阳市第十四届人民代表大会常务委员会第三十次会议通过  2011年7月29日辽宁省第十一届人民代表大会常务委员会第二十四次会议批准）</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楷体" w:hAnsi="楷体" w:eastAsia="楷体" w:cs="楷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楷体" w:hAnsi="楷体" w:eastAsia="楷体" w:cs="楷体"/>
          <w:kern w:val="2"/>
          <w:sz w:val="32"/>
          <w:szCs w:val="32"/>
          <w:lang w:val="en-US" w:eastAsia="zh-CN" w:bidi="ar"/>
        </w:rPr>
      </w:pPr>
      <w:r>
        <w:rPr>
          <w:rFonts w:hint="eastAsia" w:ascii="楷体" w:hAnsi="楷体" w:eastAsia="楷体" w:cs="楷体"/>
          <w:kern w:val="2"/>
          <w:sz w:val="32"/>
          <w:szCs w:val="32"/>
          <w:lang w:val="en-US" w:eastAsia="zh-CN" w:bidi="ar"/>
        </w:rPr>
        <w:t>目    录</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楷体" w:hAnsi="楷体" w:eastAsia="楷体" w:cs="楷体"/>
          <w:kern w:val="2"/>
          <w:sz w:val="32"/>
          <w:szCs w:val="32"/>
          <w:lang w:val="en-US" w:eastAsia="zh-CN" w:bidi="ar"/>
        </w:rPr>
      </w:pPr>
    </w:p>
    <w:p>
      <w:pPr>
        <w:pStyle w:val="10"/>
      </w:pPr>
      <w:r>
        <w:rPr>
          <w:rFonts w:hint="eastAsia"/>
          <w:lang w:val="en-US" w:eastAsia="zh-CN"/>
        </w:rPr>
        <w:fldChar w:fldCharType="begin"/>
      </w:r>
      <w:r>
        <w:rPr>
          <w:rFonts w:hint="eastAsia"/>
          <w:lang w:val="en-US" w:eastAsia="zh-CN"/>
        </w:rPr>
        <w:instrText xml:space="preserve">TOC \o "1-1" \n  \h \u </w:instrText>
      </w:r>
      <w:r>
        <w:rPr>
          <w:rFonts w:hint="eastAsia"/>
          <w:lang w:val="en-US" w:eastAsia="zh-CN"/>
        </w:rPr>
        <w:fldChar w:fldCharType="separate"/>
      </w:r>
      <w:r>
        <w:rPr>
          <w:rFonts w:hint="eastAsia"/>
          <w:lang w:val="en-US" w:eastAsia="zh-CN"/>
        </w:rPr>
        <w:fldChar w:fldCharType="begin"/>
      </w:r>
      <w:r>
        <w:rPr>
          <w:rFonts w:hint="eastAsia"/>
          <w:lang w:val="en-US" w:eastAsia="zh-CN"/>
        </w:rPr>
        <w:instrText xml:space="preserve"> HYPERLINK \l _Toc18967 </w:instrText>
      </w:r>
      <w:r>
        <w:rPr>
          <w:rFonts w:hint="eastAsia"/>
          <w:lang w:val="en-US" w:eastAsia="zh-CN"/>
        </w:rPr>
        <w:fldChar w:fldCharType="separate"/>
      </w:r>
      <w:r>
        <w:rPr>
          <w:rFonts w:hint="eastAsia"/>
          <w:lang w:val="en-US" w:eastAsia="zh-CN"/>
        </w:rPr>
        <w:t>第一章  总    则</w:t>
      </w:r>
      <w:r>
        <w:rPr>
          <w:rFonts w:hint="eastAsia"/>
          <w:lang w:val="en-US" w:eastAsia="zh-CN"/>
        </w:rPr>
        <w:fldChar w:fldCharType="end"/>
      </w:r>
    </w:p>
    <w:p>
      <w:pPr>
        <w:pStyle w:val="10"/>
      </w:pPr>
      <w:r>
        <w:rPr>
          <w:rFonts w:hint="eastAsia"/>
          <w:lang w:val="en-US" w:eastAsia="zh-CN"/>
        </w:rPr>
        <w:fldChar w:fldCharType="begin"/>
      </w:r>
      <w:r>
        <w:rPr>
          <w:rFonts w:hint="eastAsia"/>
          <w:lang w:val="en-US" w:eastAsia="zh-CN"/>
        </w:rPr>
        <w:instrText xml:space="preserve"> HYPERLINK \l _Toc29289 </w:instrText>
      </w:r>
      <w:r>
        <w:rPr>
          <w:rFonts w:hint="eastAsia"/>
          <w:lang w:val="en-US" w:eastAsia="zh-CN"/>
        </w:rPr>
        <w:fldChar w:fldCharType="separate"/>
      </w:r>
      <w:r>
        <w:rPr>
          <w:rFonts w:hint="eastAsia"/>
          <w:lang w:val="en-US" w:eastAsia="zh-CN"/>
        </w:rPr>
        <w:t>第二章  规划与建设</w:t>
      </w:r>
      <w:r>
        <w:rPr>
          <w:rFonts w:hint="eastAsia"/>
          <w:lang w:val="en-US" w:eastAsia="zh-CN"/>
        </w:rPr>
        <w:fldChar w:fldCharType="end"/>
      </w:r>
    </w:p>
    <w:p>
      <w:pPr>
        <w:pStyle w:val="10"/>
      </w:pPr>
      <w:r>
        <w:rPr>
          <w:rFonts w:hint="eastAsia"/>
          <w:lang w:val="en-US" w:eastAsia="zh-CN"/>
        </w:rPr>
        <w:fldChar w:fldCharType="begin"/>
      </w:r>
      <w:r>
        <w:rPr>
          <w:rFonts w:hint="eastAsia"/>
          <w:lang w:val="en-US" w:eastAsia="zh-CN"/>
        </w:rPr>
        <w:instrText xml:space="preserve"> HYPERLINK \l _Toc4757 </w:instrText>
      </w:r>
      <w:r>
        <w:rPr>
          <w:rFonts w:hint="eastAsia"/>
          <w:lang w:val="en-US" w:eastAsia="zh-CN"/>
        </w:rPr>
        <w:fldChar w:fldCharType="separate"/>
      </w:r>
      <w:r>
        <w:rPr>
          <w:rFonts w:hint="eastAsia"/>
          <w:lang w:val="en-US" w:eastAsia="zh-CN"/>
        </w:rPr>
        <w:t>第三章  设施管理</w:t>
      </w:r>
      <w:r>
        <w:rPr>
          <w:rFonts w:hint="eastAsia"/>
          <w:lang w:val="en-US" w:eastAsia="zh-CN"/>
        </w:rPr>
        <w:fldChar w:fldCharType="end"/>
      </w:r>
    </w:p>
    <w:p>
      <w:pPr>
        <w:pStyle w:val="10"/>
      </w:pPr>
      <w:r>
        <w:rPr>
          <w:rFonts w:hint="eastAsia"/>
          <w:lang w:val="en-US" w:eastAsia="zh-CN"/>
        </w:rPr>
        <w:fldChar w:fldCharType="begin"/>
      </w:r>
      <w:r>
        <w:rPr>
          <w:rFonts w:hint="eastAsia"/>
          <w:lang w:val="en-US" w:eastAsia="zh-CN"/>
        </w:rPr>
        <w:instrText xml:space="preserve"> HYPERLINK \l _Toc7580 </w:instrText>
      </w:r>
      <w:r>
        <w:rPr>
          <w:rFonts w:hint="eastAsia"/>
          <w:lang w:val="en-US" w:eastAsia="zh-CN"/>
        </w:rPr>
        <w:fldChar w:fldCharType="separate"/>
      </w:r>
      <w:r>
        <w:rPr>
          <w:rFonts w:hint="eastAsia"/>
          <w:lang w:val="en-US" w:eastAsia="zh-CN"/>
        </w:rPr>
        <w:t>第四章  供热与用热</w:t>
      </w:r>
      <w:r>
        <w:rPr>
          <w:rFonts w:hint="eastAsia"/>
          <w:lang w:val="en-US" w:eastAsia="zh-CN"/>
        </w:rPr>
        <w:fldChar w:fldCharType="end"/>
      </w:r>
    </w:p>
    <w:p>
      <w:pPr>
        <w:pStyle w:val="10"/>
      </w:pPr>
      <w:r>
        <w:rPr>
          <w:rFonts w:hint="eastAsia"/>
          <w:lang w:val="en-US" w:eastAsia="zh-CN"/>
        </w:rPr>
        <w:fldChar w:fldCharType="begin"/>
      </w:r>
      <w:r>
        <w:rPr>
          <w:rFonts w:hint="eastAsia"/>
          <w:lang w:val="en-US" w:eastAsia="zh-CN"/>
        </w:rPr>
        <w:instrText xml:space="preserve"> HYPERLINK \l _Toc21775 </w:instrText>
      </w:r>
      <w:r>
        <w:rPr>
          <w:rFonts w:hint="eastAsia"/>
          <w:lang w:val="en-US" w:eastAsia="zh-CN"/>
        </w:rPr>
        <w:fldChar w:fldCharType="separate"/>
      </w:r>
      <w:r>
        <w:rPr>
          <w:rFonts w:hint="eastAsia"/>
          <w:lang w:val="en-US" w:eastAsia="zh-CN"/>
        </w:rPr>
        <w:t>第五章  法律责任</w:t>
      </w:r>
      <w:r>
        <w:rPr>
          <w:rFonts w:hint="eastAsia"/>
          <w:lang w:val="en-US" w:eastAsia="zh-CN"/>
        </w:rPr>
        <w:fldChar w:fldCharType="end"/>
      </w:r>
    </w:p>
    <w:p>
      <w:pPr>
        <w:pStyle w:val="10"/>
      </w:pPr>
      <w:r>
        <w:rPr>
          <w:rFonts w:hint="eastAsia"/>
          <w:lang w:val="en-US" w:eastAsia="zh-CN"/>
        </w:rPr>
        <w:fldChar w:fldCharType="begin"/>
      </w:r>
      <w:r>
        <w:rPr>
          <w:rFonts w:hint="eastAsia"/>
          <w:lang w:val="en-US" w:eastAsia="zh-CN"/>
        </w:rPr>
        <w:instrText xml:space="preserve"> HYPERLINK \l _Toc5005 </w:instrText>
      </w:r>
      <w:r>
        <w:rPr>
          <w:rFonts w:hint="eastAsia"/>
          <w:lang w:val="en-US" w:eastAsia="zh-CN"/>
        </w:rPr>
        <w:fldChar w:fldCharType="separate"/>
      </w:r>
      <w:r>
        <w:rPr>
          <w:rFonts w:hint="eastAsia"/>
          <w:lang w:val="en-US" w:eastAsia="zh-CN"/>
        </w:rPr>
        <w:t>第六章  附    则</w:t>
      </w:r>
      <w:r>
        <w:rPr>
          <w:rFonts w:hint="eastAsia"/>
          <w:lang w:val="en-US" w:eastAsia="zh-CN"/>
        </w:rPr>
        <w:fldChar w:fldCharType="end"/>
      </w:r>
    </w:p>
    <w:p>
      <w:pPr>
        <w:pStyle w:val="10"/>
        <w:rPr>
          <w:rFonts w:hint="eastAsia" w:ascii="楷体" w:hAnsi="楷体" w:eastAsia="楷体" w:cs="楷体"/>
          <w:kern w:val="2"/>
          <w:szCs w:val="32"/>
          <w:lang w:val="en-US" w:eastAsia="zh-CN" w:bidi="ar"/>
        </w:rPr>
      </w:pPr>
      <w:r>
        <w:rPr>
          <w:rFonts w:hint="eastAsia"/>
          <w:lang w:val="en-US" w:eastAsia="zh-CN"/>
        </w:rPr>
        <w:fldChar w:fldCharType="end"/>
      </w:r>
    </w:p>
    <w:p>
      <w:pPr>
        <w:pStyle w:val="2"/>
        <w:rPr>
          <w:rFonts w:hint="eastAsia"/>
          <w:lang w:val="en-US"/>
        </w:rPr>
      </w:pPr>
      <w:bookmarkStart w:id="0" w:name="_Toc18967"/>
      <w:r>
        <w:rPr>
          <w:rFonts w:hint="eastAsia"/>
          <w:lang w:val="en-US" w:eastAsia="zh-CN"/>
        </w:rPr>
        <w:t>第一章  总    则</w:t>
      </w:r>
      <w:bookmarkEnd w:id="0"/>
    </w:p>
    <w:p>
      <w:pPr>
        <w:keepNext w:val="0"/>
        <w:keepLines w:val="0"/>
        <w:widowControl w:val="0"/>
        <w:suppressLineNumbers w:val="0"/>
        <w:spacing w:before="0" w:beforeAutospacing="0" w:after="0" w:afterAutospacing="0" w:line="560" w:lineRule="exact"/>
        <w:ind w:left="0" w:right="0" w:firstLine="640" w:firstLineChars="200"/>
        <w:jc w:val="both"/>
        <w:rPr>
          <w:rStyle w:val="11"/>
          <w:rFonts w:hint="eastAsia"/>
          <w:lang w:val="en-US" w:eastAsia="zh-CN"/>
        </w:rPr>
      </w:pP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第一条</w:t>
      </w:r>
      <w:r>
        <w:rPr>
          <w:rFonts w:hint="eastAsia" w:ascii="仿宋" w:hAnsi="仿宋" w:eastAsia="仿宋" w:cs="仿宋"/>
          <w:kern w:val="2"/>
          <w:sz w:val="32"/>
          <w:szCs w:val="32"/>
          <w:lang w:val="en-US" w:eastAsia="zh-CN" w:bidi="ar"/>
        </w:rPr>
        <w:t xml:space="preserve">  为了加强供热用热管理，规范供热用热行为，维护供热用热双方的合法权益，保障供热安全，根据相关法律、法规，结合本市实际，制定本条例。</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第二条</w:t>
      </w:r>
      <w:r>
        <w:rPr>
          <w:rFonts w:hint="eastAsia" w:ascii="仿宋" w:hAnsi="仿宋" w:eastAsia="仿宋" w:cs="仿宋"/>
          <w:kern w:val="2"/>
          <w:sz w:val="32"/>
          <w:szCs w:val="32"/>
          <w:lang w:val="en-US" w:eastAsia="zh-CN" w:bidi="ar"/>
        </w:rPr>
        <w:t xml:space="preserve">  在本市行政区域内从事民用建筑供热规划、建设、经营、管理活动和用热活动的单位和个人，应当遵守本条例。</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第三条</w:t>
      </w:r>
      <w:r>
        <w:rPr>
          <w:rFonts w:hint="eastAsia" w:ascii="仿宋" w:hAnsi="仿宋" w:eastAsia="仿宋" w:cs="仿宋"/>
          <w:kern w:val="2"/>
          <w:sz w:val="32"/>
          <w:szCs w:val="32"/>
          <w:lang w:val="en-US" w:eastAsia="zh-CN" w:bidi="ar"/>
        </w:rPr>
        <w:t xml:space="preserve">  市房产主管部门是本市供热用热主管部门。市供热管理机构具体负责供热用热的监督和管理工作。区、县（市）供热用热主管部门负责本辖区供热用热的监督和管理工作。发展和改革、经济和信息化、民政、财政、人力资源社会保障、规划、建设、行政执法、交通、质量技术监督、环保、国有资产监督管理、物价、工商等有关部门，应当在各自职责范围内，做好相关工作。</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第四条</w:t>
      </w:r>
      <w:r>
        <w:rPr>
          <w:rFonts w:hint="eastAsia" w:ascii="仿宋" w:hAnsi="仿宋" w:eastAsia="仿宋" w:cs="仿宋"/>
          <w:kern w:val="2"/>
          <w:sz w:val="32"/>
          <w:szCs w:val="32"/>
          <w:lang w:val="en-US" w:eastAsia="zh-CN" w:bidi="ar"/>
        </w:rPr>
        <w:t xml:space="preserve">  供热用热管理应当遵循统一规划、属地管理、保障安全、公共利益优先、节能环保、集中供热为主、优化资源配置、积极利用清洁能源的原则。</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kern w:val="2"/>
          <w:sz w:val="32"/>
          <w:szCs w:val="32"/>
          <w:lang w:val="en-US" w:eastAsia="zh-CN" w:bidi="ar"/>
        </w:rPr>
      </w:pPr>
      <w:r>
        <w:rPr>
          <w:rStyle w:val="11"/>
          <w:rFonts w:hint="eastAsia"/>
          <w:lang w:val="en-US" w:eastAsia="zh-CN"/>
        </w:rPr>
        <w:t>第五条</w:t>
      </w:r>
      <w:r>
        <w:rPr>
          <w:rFonts w:hint="eastAsia" w:ascii="仿宋" w:hAnsi="仿宋" w:eastAsia="仿宋" w:cs="仿宋"/>
          <w:kern w:val="2"/>
          <w:sz w:val="32"/>
          <w:szCs w:val="32"/>
          <w:lang w:val="en-US" w:eastAsia="zh-CN" w:bidi="ar"/>
        </w:rPr>
        <w:t xml:space="preserve">  鼓励和扶持供热技术研究，推广先进供热节能环保技术，加强供热信息化建设，推进供热计量，提高供热技术和管理水平。</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kern w:val="2"/>
          <w:sz w:val="32"/>
          <w:szCs w:val="32"/>
          <w:lang w:val="en-US" w:eastAsia="zh-CN" w:bidi="ar"/>
        </w:rPr>
      </w:pPr>
    </w:p>
    <w:p>
      <w:pPr>
        <w:pStyle w:val="2"/>
        <w:rPr>
          <w:rFonts w:hint="eastAsia"/>
          <w:lang w:val="en-US"/>
        </w:rPr>
      </w:pPr>
      <w:bookmarkStart w:id="1" w:name="_Toc29289"/>
      <w:r>
        <w:rPr>
          <w:rFonts w:hint="eastAsia"/>
          <w:lang w:val="en-US" w:eastAsia="zh-CN"/>
        </w:rPr>
        <w:t>第二章  规划与建设</w:t>
      </w:r>
      <w:bookmarkEnd w:id="1"/>
    </w:p>
    <w:p>
      <w:pPr>
        <w:keepNext w:val="0"/>
        <w:keepLines w:val="0"/>
        <w:widowControl w:val="0"/>
        <w:suppressLineNumbers w:val="0"/>
        <w:spacing w:before="0" w:beforeAutospacing="0" w:after="0" w:afterAutospacing="0" w:line="560" w:lineRule="exact"/>
        <w:ind w:left="0" w:right="0" w:firstLine="640" w:firstLineChars="200"/>
        <w:jc w:val="both"/>
        <w:rPr>
          <w:rStyle w:val="11"/>
          <w:rFonts w:hint="eastAsia"/>
          <w:lang w:val="en-US" w:eastAsia="zh-CN"/>
        </w:rPr>
      </w:pP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第六条</w:t>
      </w:r>
      <w:r>
        <w:rPr>
          <w:rFonts w:hint="eastAsia" w:ascii="仿宋" w:hAnsi="仿宋" w:eastAsia="仿宋" w:cs="仿宋"/>
          <w:kern w:val="2"/>
          <w:sz w:val="32"/>
          <w:szCs w:val="32"/>
          <w:lang w:val="en-US" w:eastAsia="zh-CN" w:bidi="ar"/>
        </w:rPr>
        <w:t xml:space="preserve">  市供热用热主管部门应当会同市规划主管部门、建设主管部门按照城乡总体规划编制供热专项规划，报市人民政府批准后实施。批准后不得擅自变更。确需变更的，应当报原批准机关审批。供热专项规划应当根据城市发展的需要，科学配置热源，</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统筹安排，合理布局，分期实施，并预留热源以及其他供热设施的建设用地。</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第七条</w:t>
      </w:r>
      <w:r>
        <w:rPr>
          <w:rFonts w:hint="eastAsia" w:ascii="仿宋" w:hAnsi="仿宋" w:eastAsia="仿宋" w:cs="仿宋"/>
          <w:kern w:val="2"/>
          <w:sz w:val="32"/>
          <w:szCs w:val="32"/>
          <w:lang w:val="en-US" w:eastAsia="zh-CN" w:bidi="ar"/>
        </w:rPr>
        <w:t xml:space="preserve">  市和区、县（市）供热用热主管部门应当按照供热专项规划，制定供热设施建设和改造的年度计划，并组织实施。</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第八条 </w:t>
      </w:r>
      <w:r>
        <w:rPr>
          <w:rFonts w:hint="eastAsia" w:ascii="仿宋" w:hAnsi="仿宋" w:eastAsia="仿宋" w:cs="仿宋"/>
          <w:kern w:val="2"/>
          <w:sz w:val="32"/>
          <w:szCs w:val="32"/>
          <w:lang w:val="en-US" w:eastAsia="zh-CN" w:bidi="ar"/>
        </w:rPr>
        <w:t xml:space="preserve"> 建设单位在办理建设工程规划许可证前，应当向市供热管理机构提出用热申请，市供热管理机构根据供热专项规划确定供热方案。市供热管理机构可以委托区、县（市）供热管理机构受理用热申请，确定供热方案。</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第九条</w:t>
      </w:r>
      <w:r>
        <w:rPr>
          <w:rFonts w:hint="eastAsia" w:ascii="仿宋" w:hAnsi="仿宋" w:eastAsia="仿宋" w:cs="仿宋"/>
          <w:kern w:val="2"/>
          <w:sz w:val="32"/>
          <w:szCs w:val="32"/>
          <w:lang w:val="en-US" w:eastAsia="zh-CN" w:bidi="ar"/>
        </w:rPr>
        <w:t xml:space="preserve">  新建建筑的供热设施应当符合国家现行建筑设计规范温度要求，并且按照分户计量进行建设。既有建筑的供热设施不符合国家现行建筑设计规范要求的，应当由市和区、县（市）供热用热主管部门做出安排，按照供热设施建设和改造年度计划，逐步进行建筑节能改造和供热系统计量改造，并且按照计划逐步实行供热计量收费。</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第十条 </w:t>
      </w:r>
      <w:r>
        <w:rPr>
          <w:rFonts w:hint="eastAsia" w:ascii="仿宋" w:hAnsi="仿宋" w:eastAsia="仿宋" w:cs="仿宋"/>
          <w:kern w:val="2"/>
          <w:sz w:val="32"/>
          <w:szCs w:val="32"/>
          <w:lang w:val="en-US" w:eastAsia="zh-CN" w:bidi="ar"/>
        </w:rPr>
        <w:t xml:space="preserve"> 新建建筑的供热工程竣工后，建设单位应当组织供热单位按照国家、省和市有关规定、规范进行验收。未经验收或者验收不合格的，不得交付使用。</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第十一条</w:t>
      </w:r>
      <w:r>
        <w:rPr>
          <w:rFonts w:hint="eastAsia" w:ascii="仿宋" w:hAnsi="仿宋" w:eastAsia="仿宋" w:cs="仿宋"/>
          <w:kern w:val="2"/>
          <w:sz w:val="32"/>
          <w:szCs w:val="32"/>
          <w:lang w:val="en-US" w:eastAsia="zh-CN" w:bidi="ar"/>
        </w:rPr>
        <w:t xml:space="preserve">  新建建筑需要进行联网供热的，建设单位或者自建自用房屋所有权人，应当按照规定标准交纳供热工程费。供热工程费的收取办法，由市人民政府依法制定。</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第十二条 </w:t>
      </w:r>
      <w:r>
        <w:rPr>
          <w:rFonts w:hint="eastAsia" w:ascii="仿宋" w:hAnsi="仿宋" w:eastAsia="仿宋" w:cs="仿宋"/>
          <w:kern w:val="2"/>
          <w:sz w:val="32"/>
          <w:szCs w:val="32"/>
          <w:lang w:val="en-US" w:eastAsia="zh-CN" w:bidi="ar"/>
        </w:rPr>
        <w:t xml:space="preserve"> 供热单位应当推进既有住宅供热设施的分户改造。应当将分户供热改造实施方案报所在地的区、县（市）供热管理机构备案。分户供热改造应当严格执行施工规范。因实施分户供热改造给用热户装饰装修造成损坏的，供热单位应当予以修复。因违反施工规范给用热户造成损失的，施工单位应当承担赔偿责任。进行供热设施改造时，用热户应当予以配合，街道办事处、乡镇人民政府以及居民委员会、村民委员会、物业服务企业应当予以支持。</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第十三条 </w:t>
      </w:r>
      <w:r>
        <w:rPr>
          <w:rFonts w:hint="eastAsia" w:ascii="仿宋" w:hAnsi="仿宋" w:eastAsia="仿宋" w:cs="仿宋"/>
          <w:kern w:val="2"/>
          <w:sz w:val="32"/>
          <w:szCs w:val="32"/>
          <w:lang w:val="en-US" w:eastAsia="zh-CN" w:bidi="ar"/>
        </w:rPr>
        <w:t xml:space="preserve"> 供热管理机构应当建立健全供热工程档案管理制度。供热工程验收合格后，建设单位应当向供热管理机构和供热单位移交供热设施资料。</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kern w:val="2"/>
          <w:sz w:val="32"/>
          <w:szCs w:val="32"/>
          <w:lang w:val="en-US" w:eastAsia="zh-CN" w:bidi="ar"/>
        </w:rPr>
      </w:pPr>
      <w:r>
        <w:rPr>
          <w:rStyle w:val="11"/>
          <w:rFonts w:hint="eastAsia"/>
          <w:lang w:val="en-US" w:eastAsia="zh-CN"/>
        </w:rPr>
        <w:t>第十四条</w:t>
      </w:r>
      <w:r>
        <w:rPr>
          <w:rFonts w:hint="eastAsia" w:ascii="仿宋" w:hAnsi="仿宋" w:eastAsia="仿宋" w:cs="仿宋"/>
          <w:kern w:val="2"/>
          <w:sz w:val="32"/>
          <w:szCs w:val="32"/>
          <w:lang w:val="en-US" w:eastAsia="zh-CN" w:bidi="ar"/>
        </w:rPr>
        <w:t xml:space="preserve">  市供热管理机构根据国家有关规定对本市供热工程中使用的产品和技术，定期制定推广、限制、淘汰目录并予以公布。</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kern w:val="2"/>
          <w:sz w:val="32"/>
          <w:szCs w:val="32"/>
          <w:lang w:val="en-US" w:eastAsia="zh-CN" w:bidi="ar"/>
        </w:rPr>
      </w:pPr>
    </w:p>
    <w:p>
      <w:pPr>
        <w:pStyle w:val="2"/>
        <w:rPr>
          <w:rFonts w:hint="eastAsia"/>
          <w:lang w:val="en-US"/>
        </w:rPr>
      </w:pPr>
      <w:bookmarkStart w:id="2" w:name="_Toc4757"/>
      <w:r>
        <w:rPr>
          <w:rFonts w:hint="eastAsia"/>
          <w:lang w:val="en-US" w:eastAsia="zh-CN"/>
        </w:rPr>
        <w:t>第三章  设施管理</w:t>
      </w:r>
      <w:bookmarkEnd w:id="2"/>
    </w:p>
    <w:p>
      <w:pPr>
        <w:keepNext w:val="0"/>
        <w:keepLines w:val="0"/>
        <w:widowControl w:val="0"/>
        <w:suppressLineNumbers w:val="0"/>
        <w:spacing w:before="0" w:beforeAutospacing="0" w:after="0" w:afterAutospacing="0" w:line="560" w:lineRule="exact"/>
        <w:ind w:left="0" w:right="0" w:firstLine="640" w:firstLineChars="200"/>
        <w:jc w:val="both"/>
        <w:rPr>
          <w:rStyle w:val="11"/>
          <w:rFonts w:hint="eastAsia"/>
          <w:lang w:val="en-US" w:eastAsia="zh-CN"/>
        </w:rPr>
      </w:pP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第十五条</w:t>
      </w:r>
      <w:r>
        <w:rPr>
          <w:rFonts w:hint="eastAsia" w:ascii="仿宋" w:hAnsi="仿宋" w:eastAsia="仿宋" w:cs="仿宋"/>
          <w:kern w:val="2"/>
          <w:sz w:val="32"/>
          <w:szCs w:val="32"/>
          <w:lang w:val="en-US" w:eastAsia="zh-CN" w:bidi="ar"/>
        </w:rPr>
        <w:t xml:space="preserve">  在建筑工程保修期内，建筑物的供热设施由建设单位负责管理与维修。建设单位可以委托供热单位对在保修期内的供热设施进行管理与维修，并承担相关费用。在建筑工程保修期外，居民住宅楼外的供热设施和楼内的共用供热设施由供热单位负责管理与维修。已经分户供热的住宅用热户室内供热设施，由用热户管理，更换供热设施的费用由用热户承担，因供热事故造成损失的除外；未经分户供热的住宅用热户室内供热设施，由供热单位负责维修，用热户擅自拆改的部分除外。非住宅用热户的供热设施管理责任，由供热用热双方在合同中约定。</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第十六条</w:t>
      </w:r>
      <w:r>
        <w:rPr>
          <w:rFonts w:hint="eastAsia" w:ascii="仿宋" w:hAnsi="仿宋" w:eastAsia="仿宋" w:cs="仿宋"/>
          <w:kern w:val="2"/>
          <w:sz w:val="32"/>
          <w:szCs w:val="32"/>
          <w:lang w:val="en-US" w:eastAsia="zh-CN" w:bidi="ar"/>
        </w:rPr>
        <w:t xml:space="preserve">  供热设施系统维修、养护的责任单位应当按照相应的技术标准和规范定期对供热设施系统进行检查、维修和更新改造，并于每年9月30日前完成年度检修，保证使用期内设备完好。供热单位应当按照国家有关规定提取供热设施折旧费。</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第十七条</w:t>
      </w:r>
      <w:r>
        <w:rPr>
          <w:rFonts w:hint="eastAsia" w:ascii="仿宋" w:hAnsi="仿宋" w:eastAsia="仿宋" w:cs="仿宋"/>
          <w:kern w:val="2"/>
          <w:sz w:val="32"/>
          <w:szCs w:val="32"/>
          <w:lang w:val="en-US" w:eastAsia="zh-CN" w:bidi="ar"/>
        </w:rPr>
        <w:t xml:space="preserve">  在供热期间供热设施发生故障后，供热单位应当立即进行抢修。对影响抢修的其他设施，供热单位应当采取合理的应急处置和必要的现场保护措施，并及时通知有关单位。公安、交通、城建等有关部门应当给予配合。</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第十八条 </w:t>
      </w:r>
      <w:r>
        <w:rPr>
          <w:rFonts w:hint="eastAsia" w:ascii="仿宋" w:hAnsi="仿宋" w:eastAsia="仿宋" w:cs="仿宋"/>
          <w:kern w:val="2"/>
          <w:sz w:val="32"/>
          <w:szCs w:val="32"/>
          <w:lang w:val="en-US" w:eastAsia="zh-CN" w:bidi="ar"/>
        </w:rPr>
        <w:t xml:space="preserve"> 因住宅用热户户内供热设施发生漏水等故障，对公共安全和其他住户的利益造成严重影响时，供热单位应当立即采取应急措施，并及时通知相关用热户；需要</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入户抢修而用热户不能到达现场的，供热单位应当征得用热户或者其委托人的同意，并报请公安机关、街道办事处、乡镇人民政府和物业服务企业配合入户组织抢修。供热单位工作人员在抢修过程中因故意或者重大过失造成用热户财产损失的，供热单位应当承担相应赔偿责任；因用热户原因造成损失的，由用热户承担责任。</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第十九条</w:t>
      </w:r>
      <w:r>
        <w:rPr>
          <w:rFonts w:hint="eastAsia" w:ascii="仿宋" w:hAnsi="仿宋" w:eastAsia="仿宋" w:cs="仿宋"/>
          <w:kern w:val="2"/>
          <w:sz w:val="32"/>
          <w:szCs w:val="32"/>
          <w:lang w:val="en-US" w:eastAsia="zh-CN" w:bidi="ar"/>
        </w:rPr>
        <w:t xml:space="preserve">  供热单位应当加强供热设施节能减排管理，实施系统节能改造，降低污染物排放和能源消耗。有关行政主管部门应当定期对供热单位进行考核。</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第二十条</w:t>
      </w:r>
      <w:r>
        <w:rPr>
          <w:rFonts w:hint="eastAsia" w:ascii="仿宋" w:hAnsi="仿宋" w:eastAsia="仿宋" w:cs="仿宋"/>
          <w:kern w:val="2"/>
          <w:sz w:val="32"/>
          <w:szCs w:val="32"/>
          <w:lang w:val="en-US" w:eastAsia="zh-CN" w:bidi="ar"/>
        </w:rPr>
        <w:t xml:space="preserve">  供热设施或者经营权变更，按下列规定办理：（一）向市或者区、县（市）供热用热主管部门提出变更申请，经批准后，方可办理供热设施或者经营权变更手续；（二）在市或者区、县（市）供热用热主管部门的指导下，转让方与受让方就热源、外网、内网、档案材料等管理内容签订转让协议，并向市或者区、县（市）供热用热主管部门备案；（三）接收单位应当具有相应资质。</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第二十一条</w:t>
      </w:r>
      <w:r>
        <w:rPr>
          <w:rFonts w:hint="eastAsia" w:ascii="仿宋" w:hAnsi="仿宋" w:eastAsia="仿宋" w:cs="仿宋"/>
          <w:kern w:val="2"/>
          <w:sz w:val="32"/>
          <w:szCs w:val="32"/>
          <w:lang w:val="en-US" w:eastAsia="zh-CN" w:bidi="ar"/>
        </w:rPr>
        <w:t xml:space="preserve">  在共用供热设施保护范围内，任何单位和个人不得从事下列危害共用供热设施安全的活动：（一）建设建筑物、构筑物或者堆放物料；（二）利用供热管道和支架敷设管线、悬挂物体；（三）排放腐蚀性液体；（四）爆破作业；（五）其他损毁、损坏供热管道及附属设施的活动。</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第二十二条</w:t>
      </w:r>
      <w:r>
        <w:rPr>
          <w:rFonts w:hint="eastAsia" w:ascii="仿宋" w:hAnsi="仿宋" w:eastAsia="仿宋" w:cs="仿宋"/>
          <w:kern w:val="2"/>
          <w:sz w:val="32"/>
          <w:szCs w:val="32"/>
          <w:lang w:val="en-US" w:eastAsia="zh-CN" w:bidi="ar"/>
        </w:rPr>
        <w:t xml:space="preserve">  因工程建设确需改建、拆除、迁移供热设施的，建设单位应当向供热管理机构提出申请，经批准后方可实施。</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kern w:val="2"/>
          <w:sz w:val="32"/>
          <w:szCs w:val="32"/>
          <w:lang w:val="en-US" w:eastAsia="zh-CN" w:bidi="ar"/>
        </w:rPr>
      </w:pPr>
      <w:r>
        <w:rPr>
          <w:rStyle w:val="11"/>
          <w:rFonts w:hint="eastAsia"/>
          <w:lang w:val="en-US" w:eastAsia="zh-CN"/>
        </w:rPr>
        <w:t>第二十三条</w:t>
      </w:r>
      <w:r>
        <w:rPr>
          <w:rFonts w:hint="eastAsia" w:ascii="仿宋" w:hAnsi="仿宋" w:eastAsia="仿宋" w:cs="仿宋"/>
          <w:kern w:val="2"/>
          <w:sz w:val="32"/>
          <w:szCs w:val="32"/>
          <w:lang w:val="en-US" w:eastAsia="zh-CN" w:bidi="ar"/>
        </w:rPr>
        <w:t xml:space="preserve">  在共用供热设施保护范围内进行施工的，施工单位应当与供热单位商定保护措施。在施工中造成供热设施损坏的，应当及时通知供热单位修复，由施工单位承担修复费用，赔偿相应损失；给相关单位和个人造成损失的，应当承担民事责任。</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kern w:val="2"/>
          <w:sz w:val="32"/>
          <w:szCs w:val="32"/>
          <w:lang w:val="en-US" w:eastAsia="zh-CN" w:bidi="ar"/>
        </w:rPr>
      </w:pPr>
    </w:p>
    <w:p>
      <w:pPr>
        <w:pStyle w:val="2"/>
        <w:rPr>
          <w:rFonts w:hint="eastAsia"/>
          <w:lang w:val="en-US"/>
        </w:rPr>
      </w:pPr>
      <w:bookmarkStart w:id="3" w:name="_Toc7580"/>
      <w:r>
        <w:rPr>
          <w:rFonts w:hint="eastAsia"/>
          <w:lang w:val="en-US" w:eastAsia="zh-CN"/>
        </w:rPr>
        <w:t>第四章  供热与用热</w:t>
      </w:r>
      <w:bookmarkEnd w:id="3"/>
    </w:p>
    <w:p>
      <w:pPr>
        <w:keepNext w:val="0"/>
        <w:keepLines w:val="0"/>
        <w:widowControl w:val="0"/>
        <w:suppressLineNumbers w:val="0"/>
        <w:spacing w:before="0" w:beforeAutospacing="0" w:after="0" w:afterAutospacing="0" w:line="560" w:lineRule="exact"/>
        <w:ind w:left="0" w:right="0" w:firstLine="640" w:firstLineChars="200"/>
        <w:jc w:val="both"/>
        <w:rPr>
          <w:rStyle w:val="11"/>
          <w:rFonts w:hint="eastAsia"/>
          <w:lang w:val="en-US" w:eastAsia="zh-CN"/>
        </w:rPr>
      </w:pP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第二十四条</w:t>
      </w:r>
      <w:r>
        <w:rPr>
          <w:rFonts w:hint="eastAsia" w:ascii="仿宋" w:hAnsi="仿宋" w:eastAsia="仿宋" w:cs="仿宋"/>
          <w:kern w:val="2"/>
          <w:sz w:val="32"/>
          <w:szCs w:val="32"/>
          <w:lang w:val="en-US" w:eastAsia="zh-CN" w:bidi="ar"/>
        </w:rPr>
        <w:t xml:space="preserve">  供热单位取得市供热管理机构核发的供热许可证后，方可从事供热经营。</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第二十五条</w:t>
      </w:r>
      <w:r>
        <w:rPr>
          <w:rFonts w:hint="eastAsia" w:ascii="仿宋" w:hAnsi="仿宋" w:eastAsia="仿宋" w:cs="仿宋"/>
          <w:kern w:val="2"/>
          <w:sz w:val="32"/>
          <w:szCs w:val="32"/>
          <w:lang w:val="en-US" w:eastAsia="zh-CN" w:bidi="ar"/>
        </w:rPr>
        <w:t xml:space="preserve">  供热单位取得供热许可证应当符合下列条件：（一）具有符合供热要求的供热设施；（二）具有与供热规模相适应的资金；（三）具有相应的经营管理制度；（四）具有相应资格的从业人员；（五）具有法律法规规定的其他条件。供热单位应当按照供热许可证规定的范围和要求供热，不得转让供热许可证，并自觉接受政府相关部门的监督检查。</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第二十六条</w:t>
      </w:r>
      <w:r>
        <w:rPr>
          <w:rFonts w:hint="eastAsia" w:ascii="仿宋" w:hAnsi="仿宋" w:eastAsia="仿宋" w:cs="仿宋"/>
          <w:kern w:val="2"/>
          <w:sz w:val="32"/>
          <w:szCs w:val="32"/>
          <w:lang w:val="en-US" w:eastAsia="zh-CN" w:bidi="ar"/>
        </w:rPr>
        <w:t xml:space="preserve">  本市正常供热运行期为每年11月1日至翌年3月31日。市人民政府可以根据实际情况，做出提前供热或者延长供热期的决定。</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第二十七条</w:t>
      </w:r>
      <w:r>
        <w:rPr>
          <w:rFonts w:hint="eastAsia" w:ascii="仿宋" w:hAnsi="仿宋" w:eastAsia="仿宋" w:cs="仿宋"/>
          <w:kern w:val="2"/>
          <w:sz w:val="32"/>
          <w:szCs w:val="32"/>
          <w:lang w:val="en-US" w:eastAsia="zh-CN" w:bidi="ar"/>
        </w:rPr>
        <w:t xml:space="preserve">  供热单位与用热户应当依法签订供热用热合同。供热用热合同示范文本由市供热用热主管部门会同市工商行政管理部门监制。供热用热合同应当包括用热地点、面积、供热方式、供热质量、采暖费标准及结算期限、方式、供热用热设施的维护管理等条款。用热户发生变更的，用热户应当与供热单位办理供热用热合同变更手续。</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第二十八条</w:t>
      </w:r>
      <w:r>
        <w:rPr>
          <w:rFonts w:hint="eastAsia" w:ascii="仿宋" w:hAnsi="仿宋" w:eastAsia="仿宋" w:cs="仿宋"/>
          <w:kern w:val="2"/>
          <w:sz w:val="32"/>
          <w:szCs w:val="32"/>
          <w:lang w:val="en-US" w:eastAsia="zh-CN" w:bidi="ar"/>
        </w:rPr>
        <w:t xml:space="preserve">  供热单位应当制定事故抢修和应急处理预案。供热单位应当向社会公示服务内容、服务标准和办事程序，公开收费标准、报修电话，及时处理用热户反映的供热问题。</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第二十九条</w:t>
      </w:r>
      <w:r>
        <w:rPr>
          <w:rFonts w:hint="eastAsia" w:ascii="仿宋" w:hAnsi="仿宋" w:eastAsia="仿宋" w:cs="仿宋"/>
          <w:kern w:val="2"/>
          <w:sz w:val="32"/>
          <w:szCs w:val="32"/>
          <w:lang w:val="en-US" w:eastAsia="zh-CN" w:bidi="ar"/>
        </w:rPr>
        <w:t xml:space="preserve">  供热单位应当按照国家供热技术标准提前做好供热准备，完成供热系统的检修和调试工作。在供热期内，除不可抗力原因外，应当保证用热户的卧室、起居室（厅）温度不低于18摄氏度，其他部位应当符合设计规范标准要求。供热用热双方对</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供热运行期限、温度标准另有约定的，从其约定。室内温度测量办法由市供热管理机构会同有关部门制定。对未按照规定的供热时间供热或者供热温度达不到标准的，供热单位应当给予用热户赔偿。赔偿办法由市供热用热主管部门会同市物价主管部门制定。</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第三十条</w:t>
      </w:r>
      <w:r>
        <w:rPr>
          <w:rFonts w:hint="eastAsia" w:ascii="仿宋" w:hAnsi="仿宋" w:eastAsia="仿宋" w:cs="仿宋"/>
          <w:kern w:val="2"/>
          <w:sz w:val="32"/>
          <w:szCs w:val="32"/>
          <w:lang w:val="en-US" w:eastAsia="zh-CN" w:bidi="ar"/>
        </w:rPr>
        <w:t xml:space="preserve">  供热运行期间供热单位应当保证正常、稳定、连续供热，实行二十四小时不间断服务，加强巡视检查，发现问题或者接到投诉，应当及时处理。因设备故障或者事故影响正常供热时，应当及时抢修，并立即向市和区、县（市）供热管理机构报告，同时告知用热户。</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第三十一条</w:t>
      </w:r>
      <w:r>
        <w:rPr>
          <w:rFonts w:hint="eastAsia" w:ascii="仿宋" w:hAnsi="仿宋" w:eastAsia="仿宋" w:cs="仿宋"/>
          <w:kern w:val="2"/>
          <w:sz w:val="32"/>
          <w:szCs w:val="32"/>
          <w:lang w:val="en-US" w:eastAsia="zh-CN" w:bidi="ar"/>
        </w:rPr>
        <w:t xml:space="preserve">  发生设备事故停止供热的，供热单位应当按照下列时限进行抢修：（一）一般事故，抢修时限为六小时内；（二）较大事故，抢修时限为二十四小时内；（三）重大事故，抢修时限为七十二小时内。</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第三十二条 </w:t>
      </w:r>
      <w:r>
        <w:rPr>
          <w:rFonts w:hint="eastAsia" w:ascii="仿宋" w:hAnsi="仿宋" w:eastAsia="仿宋" w:cs="仿宋"/>
          <w:kern w:val="2"/>
          <w:sz w:val="32"/>
          <w:szCs w:val="32"/>
          <w:lang w:val="en-US" w:eastAsia="zh-CN" w:bidi="ar"/>
        </w:rPr>
        <w:t xml:space="preserve"> 供热管理实行供热质量保证金制度。供热质量保证金用于出现用热户室温不达标，供热单位违规收费、设施故障率超标及无故停供等情况时赔偿用热户的损失。每年供热期满或者供热单位退出供热市场时，市供热用热主管部门应当将供热质量保证金及利息返还给供热单位。供热质量保证金的管理办法由市供热用热主管部门制定。</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第三十三条</w:t>
      </w:r>
      <w:r>
        <w:rPr>
          <w:rFonts w:hint="eastAsia" w:ascii="仿宋" w:hAnsi="仿宋" w:eastAsia="仿宋" w:cs="仿宋"/>
          <w:kern w:val="2"/>
          <w:sz w:val="32"/>
          <w:szCs w:val="32"/>
          <w:lang w:val="en-US" w:eastAsia="zh-CN" w:bidi="ar"/>
        </w:rPr>
        <w:t xml:space="preserve">  供热单位无法保障安全稳定供热，严重影响公共利益，市供热管理机构协调、督促后仍无效的，经市或者区、县（市）人民政府批准，市或者区、县（市）供热用热主管部门可以委托符合条件的供热单位对该供热单位的供热设施实施应急接管。接管期间，为保障正常供热服务所产生的费用，由原供热单位承担。对供热单位的供热设施实施应急接管的，应当听取被接管单位的陈述申辩，并在供热范围内公告。当地公安机关、街道办事处、乡镇人民政府、物业服务企业等单位应当予以配合。接管运营期间，接管单位应当向用热户提供安全稳定的供热服务，对接管项目的财务收支情况单独记账，独立核算，接受有关部门的监督。应急接管供热设施的办法由市人民政府制定。</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第三十四条</w:t>
      </w:r>
      <w:r>
        <w:rPr>
          <w:rFonts w:hint="eastAsia" w:ascii="仿宋" w:hAnsi="仿宋" w:eastAsia="仿宋" w:cs="仿宋"/>
          <w:kern w:val="2"/>
          <w:sz w:val="32"/>
          <w:szCs w:val="32"/>
          <w:lang w:val="en-US" w:eastAsia="zh-CN" w:bidi="ar"/>
        </w:rPr>
        <w:t xml:space="preserve">  向供热单位供应水、电、燃气、燃油、煤炭或者热能的单位，应当依法保障供应，不得擅自中断。</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第三十五条</w:t>
      </w:r>
      <w:r>
        <w:rPr>
          <w:rFonts w:hint="eastAsia" w:ascii="仿宋" w:hAnsi="仿宋" w:eastAsia="仿宋" w:cs="仿宋"/>
          <w:kern w:val="2"/>
          <w:sz w:val="32"/>
          <w:szCs w:val="32"/>
          <w:lang w:val="en-US" w:eastAsia="zh-CN" w:bidi="ar"/>
        </w:rPr>
        <w:t xml:space="preserve">  用热户应当依法履行交费义务。新建住宅建筑供热设施保修期内，未办理入住手续的房屋，由建设单位承担采暖费；已办理入住手续的房屋，由房屋买受人承担采暖费。职工所在单位应当按照市人民政府的有关规定承担其职工的住宅采暖费。对供热单位以书面形式催交当年采暖费后仍不按时交纳的，可以对其在三十日内采取限供、缓供措施。对逾期仍不交纳的已经分户供热的用热户，可以停供。</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第三十六条</w:t>
      </w:r>
      <w:r>
        <w:rPr>
          <w:rFonts w:hint="eastAsia" w:ascii="仿宋" w:hAnsi="仿宋" w:eastAsia="仿宋" w:cs="仿宋"/>
          <w:kern w:val="2"/>
          <w:sz w:val="32"/>
          <w:szCs w:val="32"/>
          <w:lang w:val="en-US" w:eastAsia="zh-CN" w:bidi="ar"/>
        </w:rPr>
        <w:t xml:space="preserve">  采暖费价格以及与供热用热有关的各类收费标准，由市物价主管部门依据社会平均供热成本和市场供求状况以及社会承受能力等相关因素依法确定。市物价主管部门在确定和调整采暖费价格时，应当开展价格、成本调查，举行听证会，听取用热户、供热单位和供热用热主管部门等有关方面的意见。</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第三十七条</w:t>
      </w:r>
      <w:r>
        <w:rPr>
          <w:rFonts w:hint="eastAsia" w:ascii="仿宋" w:hAnsi="仿宋" w:eastAsia="仿宋" w:cs="仿宋"/>
          <w:kern w:val="2"/>
          <w:sz w:val="32"/>
          <w:szCs w:val="32"/>
          <w:lang w:val="en-US" w:eastAsia="zh-CN" w:bidi="ar"/>
        </w:rPr>
        <w:t xml:space="preserve">  在不影响其他用热户正常采暖和共用供热设施安全运行的前提下，既有建筑室内采暖设施已经分户且供热设施保修期已满的用热户，可以申请暂停供热。申请暂停供热的用热户应当在当年10月15日前到供热单位办理手续。新建建筑在供热设施保修期内不得办理暂停供热。</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第三十八条</w:t>
      </w:r>
      <w:r>
        <w:rPr>
          <w:rFonts w:hint="eastAsia" w:ascii="仿宋" w:hAnsi="仿宋" w:eastAsia="仿宋" w:cs="仿宋"/>
          <w:kern w:val="2"/>
          <w:sz w:val="32"/>
          <w:szCs w:val="32"/>
          <w:lang w:val="en-US" w:eastAsia="zh-CN" w:bidi="ar"/>
        </w:rPr>
        <w:t xml:space="preserve">  用热户不得有下列行为：（一）擅自改动室内采暖设施；（二）安装放水阀、循环泵；（三）擅自调节、移动、拆除供热阀门及铅封、计量器具等；（四）排放</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和取用供热设施内的热水或者蒸汽；（五）阻碍供热单位对供热设施进行维护、管理；（六）其他影响供热系统正常运行和其他用热户用热质量的行为。用热户出现上述行为造成室内温度达不到标准的，由其自行承担责任，造成其他用热户温度达不到标准的，应当承担相应的民事责任。</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kern w:val="2"/>
          <w:sz w:val="32"/>
          <w:szCs w:val="32"/>
          <w:lang w:val="en-US" w:eastAsia="zh-CN" w:bidi="ar"/>
        </w:rPr>
      </w:pPr>
      <w:r>
        <w:rPr>
          <w:rStyle w:val="11"/>
          <w:rFonts w:hint="eastAsia"/>
          <w:lang w:val="en-US" w:eastAsia="zh-CN"/>
        </w:rPr>
        <w:t>第三十九条</w:t>
      </w:r>
      <w:r>
        <w:rPr>
          <w:rFonts w:hint="eastAsia" w:ascii="仿宋" w:hAnsi="仿宋" w:eastAsia="仿宋" w:cs="仿宋"/>
          <w:kern w:val="2"/>
          <w:sz w:val="32"/>
          <w:szCs w:val="32"/>
          <w:lang w:val="en-US" w:eastAsia="zh-CN" w:bidi="ar"/>
        </w:rPr>
        <w:t xml:space="preserve">  市和区、县（市）人民政府应当建立城市供热保障金，用于城市最低生活保障线以下和其他困难居民的采暖费补贴。</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kern w:val="2"/>
          <w:sz w:val="32"/>
          <w:szCs w:val="32"/>
          <w:lang w:val="en-US" w:eastAsia="zh-CN" w:bidi="ar"/>
        </w:rPr>
      </w:pPr>
    </w:p>
    <w:p>
      <w:pPr>
        <w:pStyle w:val="2"/>
        <w:rPr>
          <w:rFonts w:hint="eastAsia"/>
          <w:lang w:val="en-US"/>
        </w:rPr>
      </w:pPr>
      <w:bookmarkStart w:id="4" w:name="_Toc21775"/>
      <w:r>
        <w:rPr>
          <w:rFonts w:hint="eastAsia"/>
          <w:lang w:val="en-US" w:eastAsia="zh-CN"/>
        </w:rPr>
        <w:t>第五章  法律责任</w:t>
      </w:r>
      <w:bookmarkEnd w:id="4"/>
    </w:p>
    <w:p>
      <w:pPr>
        <w:keepNext w:val="0"/>
        <w:keepLines w:val="0"/>
        <w:widowControl w:val="0"/>
        <w:suppressLineNumbers w:val="0"/>
        <w:spacing w:before="0" w:beforeAutospacing="0" w:after="0" w:afterAutospacing="0" w:line="560" w:lineRule="exact"/>
        <w:ind w:left="0" w:right="0" w:firstLine="640" w:firstLineChars="200"/>
        <w:jc w:val="both"/>
        <w:rPr>
          <w:rStyle w:val="11"/>
          <w:rFonts w:hint="eastAsia"/>
          <w:lang w:val="en-US" w:eastAsia="zh-CN"/>
        </w:rPr>
      </w:pP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第四十条 </w:t>
      </w:r>
      <w:r>
        <w:rPr>
          <w:rFonts w:hint="eastAsia" w:ascii="仿宋" w:hAnsi="仿宋" w:eastAsia="仿宋" w:cs="仿宋"/>
          <w:kern w:val="2"/>
          <w:sz w:val="32"/>
          <w:szCs w:val="32"/>
          <w:lang w:val="en-US" w:eastAsia="zh-CN" w:bidi="ar"/>
        </w:rPr>
        <w:t xml:space="preserve"> 建设单位违反本条例规定，由行政执法部门按照下列规定给予处罚：（一）违反供热专项规划擅自建设热源的，责令停止建设；逾期不改正的，予以拆除，并处十万元以上二十万元以下罚款；（二）违反供热专项规划擅自并入管网的，责令限期改正，补办相关手续；逾期不改正的，按照收费面积每平方米十元的标准处以罚款；（三）供热设施建设不符合国家有关技术标准、规范和要求的，责令限期改正，逾期不改正的，处五万元以上十万元以下罚款。</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第四十一条</w:t>
      </w:r>
      <w:r>
        <w:rPr>
          <w:rFonts w:hint="eastAsia" w:ascii="仿宋" w:hAnsi="仿宋" w:eastAsia="仿宋" w:cs="仿宋"/>
          <w:kern w:val="2"/>
          <w:sz w:val="32"/>
          <w:szCs w:val="32"/>
          <w:lang w:val="en-US" w:eastAsia="zh-CN" w:bidi="ar"/>
        </w:rPr>
        <w:t xml:space="preserve">  相关单位或者供热单位违反本条例规定，有下列行为之一的，由行政执法部门责令限期改正；逾期不改正的，处三万元以上十万元以下罚款；给用热户造成损失的，依法予以赔偿；情节严重的，由市供热管理机构吊销经营许可证：（一）不按照供热运行期规定供热的；（二）擅自改建、拆除、迁移供热设施的；（三）因擅自停热、不按照规定供热或者不及时抢修，影响用热户经营、生活的；（四）使用有关部门限制、淘汰的供热设备、产品的；（五）供热设施未经验收或者验收不合格而交付使用的；（六）擅自转让供热许可证或者供热设施的。</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第四十二条 </w:t>
      </w:r>
      <w:r>
        <w:rPr>
          <w:rFonts w:hint="eastAsia" w:ascii="仿宋" w:hAnsi="仿宋" w:eastAsia="仿宋" w:cs="仿宋"/>
          <w:kern w:val="2"/>
          <w:sz w:val="32"/>
          <w:szCs w:val="32"/>
          <w:lang w:val="en-US" w:eastAsia="zh-CN" w:bidi="ar"/>
        </w:rPr>
        <w:t xml:space="preserve"> 单位和个人违反本条例第二十一条规定，从事危害共用供热设施安全活动的，由行政执法部门责令限期改正；逾期不改正的，处二千元以上一万元以下罚款；情节严重的，处三万元以上十万元以下罚款；造成损失的，依法予以赔偿。</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kern w:val="2"/>
          <w:sz w:val="32"/>
          <w:szCs w:val="32"/>
          <w:lang w:val="en-US" w:eastAsia="zh-CN" w:bidi="ar"/>
        </w:rPr>
      </w:pPr>
      <w:r>
        <w:rPr>
          <w:rStyle w:val="11"/>
          <w:rFonts w:hint="eastAsia"/>
          <w:lang w:val="en-US" w:eastAsia="zh-CN"/>
        </w:rPr>
        <w:t>第四十三条</w:t>
      </w:r>
      <w:r>
        <w:rPr>
          <w:rFonts w:hint="eastAsia" w:ascii="仿宋" w:hAnsi="仿宋" w:eastAsia="仿宋" w:cs="仿宋"/>
          <w:kern w:val="2"/>
          <w:sz w:val="32"/>
          <w:szCs w:val="32"/>
          <w:lang w:val="en-US" w:eastAsia="zh-CN" w:bidi="ar"/>
        </w:rPr>
        <w:t xml:space="preserve">  用热户违反本条例第三十八条规定，由行政执法部门责令限期改正；逾期不改正的，处五百元以上三千元以下罚款。</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kern w:val="2"/>
          <w:sz w:val="32"/>
          <w:szCs w:val="32"/>
          <w:lang w:val="en-US" w:eastAsia="zh-CN" w:bidi="ar"/>
        </w:rPr>
      </w:pPr>
    </w:p>
    <w:p>
      <w:pPr>
        <w:pStyle w:val="2"/>
        <w:rPr>
          <w:rFonts w:hint="eastAsia"/>
          <w:lang w:val="en-US"/>
        </w:rPr>
      </w:pPr>
      <w:bookmarkStart w:id="5" w:name="_Toc5005"/>
      <w:r>
        <w:rPr>
          <w:rFonts w:hint="eastAsia"/>
          <w:lang w:val="en-US" w:eastAsia="zh-CN"/>
        </w:rPr>
        <w:t>第六章  附    则</w:t>
      </w:r>
      <w:bookmarkEnd w:id="5"/>
    </w:p>
    <w:p>
      <w:pPr>
        <w:keepNext w:val="0"/>
        <w:keepLines w:val="0"/>
        <w:widowControl w:val="0"/>
        <w:suppressLineNumbers w:val="0"/>
        <w:spacing w:before="0" w:beforeAutospacing="0" w:after="0" w:afterAutospacing="0" w:line="560" w:lineRule="exact"/>
        <w:ind w:left="0" w:right="0" w:firstLine="640" w:firstLineChars="200"/>
        <w:jc w:val="both"/>
        <w:rPr>
          <w:rStyle w:val="11"/>
          <w:rFonts w:hint="eastAsia"/>
          <w:lang w:val="en-US" w:eastAsia="zh-CN"/>
        </w:rPr>
      </w:pP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第四十四条</w:t>
      </w:r>
      <w:r>
        <w:rPr>
          <w:rFonts w:hint="eastAsia" w:ascii="仿宋" w:hAnsi="仿宋" w:eastAsia="仿宋" w:cs="仿宋"/>
          <w:kern w:val="2"/>
          <w:sz w:val="32"/>
          <w:szCs w:val="32"/>
          <w:lang w:val="en-US" w:eastAsia="zh-CN" w:bidi="ar"/>
        </w:rPr>
        <w:t xml:space="preserve">  本条例自2011年11月1日起施行。</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sz w:val="32"/>
          <w:szCs w:val="32"/>
        </w:rPr>
      </w:pPr>
    </w:p>
    <w:p>
      <w:pPr>
        <w:spacing w:line="560" w:lineRule="exact"/>
        <w:rPr>
          <w:rFonts w:hint="eastAsia" w:ascii="仿宋" w:hAnsi="仿宋" w:eastAsia="仿宋" w:cs="仿宋"/>
          <w:sz w:val="32"/>
          <w:szCs w:val="32"/>
        </w:rPr>
      </w:pPr>
    </w:p>
    <w:sectPr>
      <w:footerReference r:id="rId3" w:type="default"/>
      <w:pgSz w:w="11906" w:h="16838"/>
      <w:pgMar w:top="2041" w:right="1531" w:bottom="2041" w:left="1531" w:header="851" w:footer="992" w:gutter="0"/>
      <w:pgNumType w:fmt="decimal"/>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5"/>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0" w:firstLineChars="0"/>
                            <w:jc w:val="left"/>
                            <w:textAlignment w:val="auto"/>
                            <w:outlineLvl w:val="9"/>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C+AKSxgEAAGsDAAAOAAAAAAAAAAEAIAAAAB4BAABkcnMvZTJvRG9jLnht&#10;bFBLBQYAAAAABgAGAFkBAABWBQAAAAA=&#10;">
              <v:fill on="f" focussize="0,0"/>
              <v:stroke on="f"/>
              <v:imagedata o:title=""/>
              <o:lock v:ext="edit" aspectratio="f"/>
              <v:textbox inset="0mm,0mm,0mm,0mm" style="mso-fit-shape-to-text:t;">
                <w:txbxContent>
                  <w:p>
                    <w:pPr>
                      <w:pStyle w:val="5"/>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0" w:firstLineChars="0"/>
                      <w:jc w:val="left"/>
                      <w:textAlignment w:val="auto"/>
                      <w:outlineLvl w:val="9"/>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9F1"/>
    <w:rsid w:val="000002D8"/>
    <w:rsid w:val="00003585"/>
    <w:rsid w:val="00014686"/>
    <w:rsid w:val="00017797"/>
    <w:rsid w:val="00021DF8"/>
    <w:rsid w:val="000241CB"/>
    <w:rsid w:val="000319B6"/>
    <w:rsid w:val="0003441F"/>
    <w:rsid w:val="00034F3F"/>
    <w:rsid w:val="00037460"/>
    <w:rsid w:val="000409F9"/>
    <w:rsid w:val="000411AE"/>
    <w:rsid w:val="00043D9D"/>
    <w:rsid w:val="000451A6"/>
    <w:rsid w:val="0006663B"/>
    <w:rsid w:val="00067781"/>
    <w:rsid w:val="000767A4"/>
    <w:rsid w:val="0008038C"/>
    <w:rsid w:val="00081D57"/>
    <w:rsid w:val="00096C3C"/>
    <w:rsid w:val="00097351"/>
    <w:rsid w:val="000A36BE"/>
    <w:rsid w:val="000A39E9"/>
    <w:rsid w:val="000A49E3"/>
    <w:rsid w:val="000B20F8"/>
    <w:rsid w:val="000B3E78"/>
    <w:rsid w:val="000C4386"/>
    <w:rsid w:val="000D0728"/>
    <w:rsid w:val="000E162C"/>
    <w:rsid w:val="000E4177"/>
    <w:rsid w:val="000E4D6B"/>
    <w:rsid w:val="000E5A7C"/>
    <w:rsid w:val="000E5BC1"/>
    <w:rsid w:val="000F1BAC"/>
    <w:rsid w:val="00116AA4"/>
    <w:rsid w:val="001211DC"/>
    <w:rsid w:val="00130DC4"/>
    <w:rsid w:val="00131750"/>
    <w:rsid w:val="00132CC4"/>
    <w:rsid w:val="00146C89"/>
    <w:rsid w:val="00163B9E"/>
    <w:rsid w:val="00170682"/>
    <w:rsid w:val="00174D6D"/>
    <w:rsid w:val="0017688F"/>
    <w:rsid w:val="00180E34"/>
    <w:rsid w:val="00181A71"/>
    <w:rsid w:val="001826E2"/>
    <w:rsid w:val="00182F23"/>
    <w:rsid w:val="00183BC2"/>
    <w:rsid w:val="0018607A"/>
    <w:rsid w:val="001860E2"/>
    <w:rsid w:val="00191109"/>
    <w:rsid w:val="001A1B82"/>
    <w:rsid w:val="001B1310"/>
    <w:rsid w:val="001B41EF"/>
    <w:rsid w:val="001B5072"/>
    <w:rsid w:val="001D2140"/>
    <w:rsid w:val="001D3D9F"/>
    <w:rsid w:val="001E1C7F"/>
    <w:rsid w:val="001E2E60"/>
    <w:rsid w:val="001E3E9D"/>
    <w:rsid w:val="001F63ED"/>
    <w:rsid w:val="001F6B51"/>
    <w:rsid w:val="00200C01"/>
    <w:rsid w:val="00210D4E"/>
    <w:rsid w:val="00214AE7"/>
    <w:rsid w:val="002215BD"/>
    <w:rsid w:val="002243E6"/>
    <w:rsid w:val="002273E6"/>
    <w:rsid w:val="00240A0E"/>
    <w:rsid w:val="00243187"/>
    <w:rsid w:val="00247D0F"/>
    <w:rsid w:val="00250924"/>
    <w:rsid w:val="00256DE8"/>
    <w:rsid w:val="00261EBF"/>
    <w:rsid w:val="00266008"/>
    <w:rsid w:val="00267B07"/>
    <w:rsid w:val="00271AF6"/>
    <w:rsid w:val="0027367C"/>
    <w:rsid w:val="00274174"/>
    <w:rsid w:val="002754A6"/>
    <w:rsid w:val="00284182"/>
    <w:rsid w:val="002876E2"/>
    <w:rsid w:val="002950C0"/>
    <w:rsid w:val="002A0D09"/>
    <w:rsid w:val="002A398C"/>
    <w:rsid w:val="002B1E13"/>
    <w:rsid w:val="002B5861"/>
    <w:rsid w:val="002B5923"/>
    <w:rsid w:val="002B799C"/>
    <w:rsid w:val="002C247C"/>
    <w:rsid w:val="002C362A"/>
    <w:rsid w:val="002C3B62"/>
    <w:rsid w:val="002C5480"/>
    <w:rsid w:val="002D3DFE"/>
    <w:rsid w:val="002D6BAC"/>
    <w:rsid w:val="002E392C"/>
    <w:rsid w:val="002F7680"/>
    <w:rsid w:val="00304566"/>
    <w:rsid w:val="00312076"/>
    <w:rsid w:val="00326C74"/>
    <w:rsid w:val="00327A18"/>
    <w:rsid w:val="00327A47"/>
    <w:rsid w:val="0033275F"/>
    <w:rsid w:val="00337156"/>
    <w:rsid w:val="00340214"/>
    <w:rsid w:val="003431C5"/>
    <w:rsid w:val="00350DA4"/>
    <w:rsid w:val="00353F50"/>
    <w:rsid w:val="00362CB4"/>
    <w:rsid w:val="00364676"/>
    <w:rsid w:val="00366821"/>
    <w:rsid w:val="00371134"/>
    <w:rsid w:val="003756D2"/>
    <w:rsid w:val="00382E6A"/>
    <w:rsid w:val="003965BE"/>
    <w:rsid w:val="003A1FF8"/>
    <w:rsid w:val="003A2536"/>
    <w:rsid w:val="003B0608"/>
    <w:rsid w:val="003B40AB"/>
    <w:rsid w:val="003C3E89"/>
    <w:rsid w:val="003C532C"/>
    <w:rsid w:val="003C72CC"/>
    <w:rsid w:val="003D349A"/>
    <w:rsid w:val="003E5F17"/>
    <w:rsid w:val="003F2DD0"/>
    <w:rsid w:val="003F6F15"/>
    <w:rsid w:val="003F6F4A"/>
    <w:rsid w:val="003F71B0"/>
    <w:rsid w:val="0040585B"/>
    <w:rsid w:val="00405984"/>
    <w:rsid w:val="004069F1"/>
    <w:rsid w:val="00410795"/>
    <w:rsid w:val="00412F3C"/>
    <w:rsid w:val="0041372F"/>
    <w:rsid w:val="00414950"/>
    <w:rsid w:val="00416A66"/>
    <w:rsid w:val="00417439"/>
    <w:rsid w:val="00420F37"/>
    <w:rsid w:val="00432475"/>
    <w:rsid w:val="004328B4"/>
    <w:rsid w:val="004345CF"/>
    <w:rsid w:val="00442E9B"/>
    <w:rsid w:val="00443EC0"/>
    <w:rsid w:val="0045572F"/>
    <w:rsid w:val="00460176"/>
    <w:rsid w:val="0046156A"/>
    <w:rsid w:val="004642C8"/>
    <w:rsid w:val="004644EB"/>
    <w:rsid w:val="0046611B"/>
    <w:rsid w:val="00471974"/>
    <w:rsid w:val="00474CC8"/>
    <w:rsid w:val="00474F61"/>
    <w:rsid w:val="0047564B"/>
    <w:rsid w:val="00492166"/>
    <w:rsid w:val="004A0B4D"/>
    <w:rsid w:val="004A2ADE"/>
    <w:rsid w:val="004A2E60"/>
    <w:rsid w:val="004C0AAB"/>
    <w:rsid w:val="004C1A59"/>
    <w:rsid w:val="004D08E1"/>
    <w:rsid w:val="004D65E7"/>
    <w:rsid w:val="004D75EC"/>
    <w:rsid w:val="004D7BE9"/>
    <w:rsid w:val="004E03C9"/>
    <w:rsid w:val="004E65CE"/>
    <w:rsid w:val="004F0BDD"/>
    <w:rsid w:val="004F1256"/>
    <w:rsid w:val="004F1E6E"/>
    <w:rsid w:val="00506236"/>
    <w:rsid w:val="00521102"/>
    <w:rsid w:val="005257E0"/>
    <w:rsid w:val="00526322"/>
    <w:rsid w:val="00527027"/>
    <w:rsid w:val="005352B0"/>
    <w:rsid w:val="005360EF"/>
    <w:rsid w:val="005363E6"/>
    <w:rsid w:val="00536DD1"/>
    <w:rsid w:val="00537634"/>
    <w:rsid w:val="00541C00"/>
    <w:rsid w:val="00553418"/>
    <w:rsid w:val="00557421"/>
    <w:rsid w:val="00557E32"/>
    <w:rsid w:val="00560E04"/>
    <w:rsid w:val="005616B1"/>
    <w:rsid w:val="00562591"/>
    <w:rsid w:val="00563D88"/>
    <w:rsid w:val="005649F7"/>
    <w:rsid w:val="00572740"/>
    <w:rsid w:val="00572FB7"/>
    <w:rsid w:val="0057385F"/>
    <w:rsid w:val="00577B99"/>
    <w:rsid w:val="00581F64"/>
    <w:rsid w:val="00582BDE"/>
    <w:rsid w:val="00585DFC"/>
    <w:rsid w:val="00587815"/>
    <w:rsid w:val="00591662"/>
    <w:rsid w:val="00592FF6"/>
    <w:rsid w:val="00596668"/>
    <w:rsid w:val="00596FF3"/>
    <w:rsid w:val="0059721D"/>
    <w:rsid w:val="005A22F0"/>
    <w:rsid w:val="005A6F73"/>
    <w:rsid w:val="005B1434"/>
    <w:rsid w:val="005C275B"/>
    <w:rsid w:val="005C59EB"/>
    <w:rsid w:val="005C5DB0"/>
    <w:rsid w:val="005E3B7D"/>
    <w:rsid w:val="005E3DD0"/>
    <w:rsid w:val="005E41F4"/>
    <w:rsid w:val="005E6F75"/>
    <w:rsid w:val="005E7868"/>
    <w:rsid w:val="005F56C9"/>
    <w:rsid w:val="006001B7"/>
    <w:rsid w:val="00607D48"/>
    <w:rsid w:val="006146B0"/>
    <w:rsid w:val="0061493E"/>
    <w:rsid w:val="006208A7"/>
    <w:rsid w:val="0062641A"/>
    <w:rsid w:val="006372B4"/>
    <w:rsid w:val="00644ADF"/>
    <w:rsid w:val="006538FF"/>
    <w:rsid w:val="00655881"/>
    <w:rsid w:val="00660F70"/>
    <w:rsid w:val="00676A27"/>
    <w:rsid w:val="00676F56"/>
    <w:rsid w:val="006772E5"/>
    <w:rsid w:val="006775DE"/>
    <w:rsid w:val="00683051"/>
    <w:rsid w:val="00687405"/>
    <w:rsid w:val="00693734"/>
    <w:rsid w:val="00694290"/>
    <w:rsid w:val="0069641F"/>
    <w:rsid w:val="006978BC"/>
    <w:rsid w:val="006A1623"/>
    <w:rsid w:val="006A3C68"/>
    <w:rsid w:val="006A45AF"/>
    <w:rsid w:val="006A75E5"/>
    <w:rsid w:val="006A7F99"/>
    <w:rsid w:val="006B1D16"/>
    <w:rsid w:val="006C02DC"/>
    <w:rsid w:val="006D1CA8"/>
    <w:rsid w:val="006E00E3"/>
    <w:rsid w:val="006F0E1D"/>
    <w:rsid w:val="006F1086"/>
    <w:rsid w:val="006F4E9E"/>
    <w:rsid w:val="006F5DDE"/>
    <w:rsid w:val="00702AD3"/>
    <w:rsid w:val="00711AA4"/>
    <w:rsid w:val="0072258B"/>
    <w:rsid w:val="0072330F"/>
    <w:rsid w:val="00725F31"/>
    <w:rsid w:val="00732733"/>
    <w:rsid w:val="00740AE6"/>
    <w:rsid w:val="007439DF"/>
    <w:rsid w:val="007478D6"/>
    <w:rsid w:val="0075742D"/>
    <w:rsid w:val="00761406"/>
    <w:rsid w:val="0076169B"/>
    <w:rsid w:val="00761887"/>
    <w:rsid w:val="00765C25"/>
    <w:rsid w:val="00776DA8"/>
    <w:rsid w:val="00777305"/>
    <w:rsid w:val="0077750A"/>
    <w:rsid w:val="007920AC"/>
    <w:rsid w:val="00792552"/>
    <w:rsid w:val="007A2022"/>
    <w:rsid w:val="007A49E9"/>
    <w:rsid w:val="007A5128"/>
    <w:rsid w:val="007C1CF8"/>
    <w:rsid w:val="007C2081"/>
    <w:rsid w:val="007C3D07"/>
    <w:rsid w:val="007D6448"/>
    <w:rsid w:val="007D712A"/>
    <w:rsid w:val="007E64F5"/>
    <w:rsid w:val="007F20EF"/>
    <w:rsid w:val="00803108"/>
    <w:rsid w:val="00803BDE"/>
    <w:rsid w:val="00816502"/>
    <w:rsid w:val="00817962"/>
    <w:rsid w:val="00825D44"/>
    <w:rsid w:val="00830818"/>
    <w:rsid w:val="008310B4"/>
    <w:rsid w:val="008339BE"/>
    <w:rsid w:val="00846FB8"/>
    <w:rsid w:val="008473FE"/>
    <w:rsid w:val="008579CB"/>
    <w:rsid w:val="00861EDE"/>
    <w:rsid w:val="00864268"/>
    <w:rsid w:val="0087026B"/>
    <w:rsid w:val="00871CA1"/>
    <w:rsid w:val="00875A35"/>
    <w:rsid w:val="00876AF7"/>
    <w:rsid w:val="008A0D16"/>
    <w:rsid w:val="008A1024"/>
    <w:rsid w:val="008A265E"/>
    <w:rsid w:val="008A4BD8"/>
    <w:rsid w:val="008A664C"/>
    <w:rsid w:val="008B74EE"/>
    <w:rsid w:val="008C0EC3"/>
    <w:rsid w:val="008D044B"/>
    <w:rsid w:val="008D1B7C"/>
    <w:rsid w:val="008D6F7B"/>
    <w:rsid w:val="008E38C8"/>
    <w:rsid w:val="008E3D93"/>
    <w:rsid w:val="008F60DA"/>
    <w:rsid w:val="00900A78"/>
    <w:rsid w:val="00906850"/>
    <w:rsid w:val="009168B7"/>
    <w:rsid w:val="009266FF"/>
    <w:rsid w:val="009374B3"/>
    <w:rsid w:val="009378E2"/>
    <w:rsid w:val="0095247F"/>
    <w:rsid w:val="009569F4"/>
    <w:rsid w:val="00966E17"/>
    <w:rsid w:val="009719DA"/>
    <w:rsid w:val="00971BDC"/>
    <w:rsid w:val="00971F9C"/>
    <w:rsid w:val="009750E9"/>
    <w:rsid w:val="00990335"/>
    <w:rsid w:val="009A0161"/>
    <w:rsid w:val="009A1D37"/>
    <w:rsid w:val="009A7719"/>
    <w:rsid w:val="009B26BB"/>
    <w:rsid w:val="009B3F12"/>
    <w:rsid w:val="009B54D3"/>
    <w:rsid w:val="009B7C45"/>
    <w:rsid w:val="009C328D"/>
    <w:rsid w:val="009C703F"/>
    <w:rsid w:val="009C799B"/>
    <w:rsid w:val="009D0839"/>
    <w:rsid w:val="009D1FC0"/>
    <w:rsid w:val="009E0C13"/>
    <w:rsid w:val="009F7B4C"/>
    <w:rsid w:val="00A015DC"/>
    <w:rsid w:val="00A0194D"/>
    <w:rsid w:val="00A02C44"/>
    <w:rsid w:val="00A079A9"/>
    <w:rsid w:val="00A145A0"/>
    <w:rsid w:val="00A15439"/>
    <w:rsid w:val="00A17CB4"/>
    <w:rsid w:val="00A204EC"/>
    <w:rsid w:val="00A22E7A"/>
    <w:rsid w:val="00A25754"/>
    <w:rsid w:val="00A3165B"/>
    <w:rsid w:val="00A3214D"/>
    <w:rsid w:val="00A4039F"/>
    <w:rsid w:val="00A40CA6"/>
    <w:rsid w:val="00A532C6"/>
    <w:rsid w:val="00A57A47"/>
    <w:rsid w:val="00A602E2"/>
    <w:rsid w:val="00A604CF"/>
    <w:rsid w:val="00A63D5C"/>
    <w:rsid w:val="00A659AB"/>
    <w:rsid w:val="00A71DA0"/>
    <w:rsid w:val="00A73A4D"/>
    <w:rsid w:val="00A761BE"/>
    <w:rsid w:val="00A80290"/>
    <w:rsid w:val="00A83E30"/>
    <w:rsid w:val="00A8570F"/>
    <w:rsid w:val="00AA01F8"/>
    <w:rsid w:val="00AA37DF"/>
    <w:rsid w:val="00AB37E2"/>
    <w:rsid w:val="00AD4F92"/>
    <w:rsid w:val="00AD7254"/>
    <w:rsid w:val="00AE0ADF"/>
    <w:rsid w:val="00AE5864"/>
    <w:rsid w:val="00B11B25"/>
    <w:rsid w:val="00B222FD"/>
    <w:rsid w:val="00B223DD"/>
    <w:rsid w:val="00B24C42"/>
    <w:rsid w:val="00B27EBB"/>
    <w:rsid w:val="00B35704"/>
    <w:rsid w:val="00B4789A"/>
    <w:rsid w:val="00B514E3"/>
    <w:rsid w:val="00B53AB2"/>
    <w:rsid w:val="00B576FF"/>
    <w:rsid w:val="00B85EFC"/>
    <w:rsid w:val="00B92697"/>
    <w:rsid w:val="00B94120"/>
    <w:rsid w:val="00BA0925"/>
    <w:rsid w:val="00BA68A2"/>
    <w:rsid w:val="00BB188D"/>
    <w:rsid w:val="00BB3D50"/>
    <w:rsid w:val="00BB6114"/>
    <w:rsid w:val="00BC3D7C"/>
    <w:rsid w:val="00BC417E"/>
    <w:rsid w:val="00BC6D93"/>
    <w:rsid w:val="00BD2A1E"/>
    <w:rsid w:val="00BD46EE"/>
    <w:rsid w:val="00BD5FEA"/>
    <w:rsid w:val="00BE28B1"/>
    <w:rsid w:val="00BE2D71"/>
    <w:rsid w:val="00BF0CB3"/>
    <w:rsid w:val="00BF2E6E"/>
    <w:rsid w:val="00BF4F51"/>
    <w:rsid w:val="00BF585F"/>
    <w:rsid w:val="00BF7127"/>
    <w:rsid w:val="00C064F9"/>
    <w:rsid w:val="00C078B4"/>
    <w:rsid w:val="00C114BC"/>
    <w:rsid w:val="00C143CB"/>
    <w:rsid w:val="00C25A63"/>
    <w:rsid w:val="00C267BB"/>
    <w:rsid w:val="00C26F09"/>
    <w:rsid w:val="00C30A29"/>
    <w:rsid w:val="00C30AA6"/>
    <w:rsid w:val="00C350C7"/>
    <w:rsid w:val="00C35A70"/>
    <w:rsid w:val="00C4036B"/>
    <w:rsid w:val="00C428BC"/>
    <w:rsid w:val="00C4314E"/>
    <w:rsid w:val="00C5609A"/>
    <w:rsid w:val="00C60007"/>
    <w:rsid w:val="00C62538"/>
    <w:rsid w:val="00C63D0C"/>
    <w:rsid w:val="00C63EBE"/>
    <w:rsid w:val="00C67D04"/>
    <w:rsid w:val="00C7039D"/>
    <w:rsid w:val="00C74C5B"/>
    <w:rsid w:val="00C83FC1"/>
    <w:rsid w:val="00C851BA"/>
    <w:rsid w:val="00C93C8A"/>
    <w:rsid w:val="00CA1837"/>
    <w:rsid w:val="00CA7DE8"/>
    <w:rsid w:val="00CB4BCF"/>
    <w:rsid w:val="00CB55FD"/>
    <w:rsid w:val="00CD5299"/>
    <w:rsid w:val="00CE16E8"/>
    <w:rsid w:val="00CE2903"/>
    <w:rsid w:val="00CF5924"/>
    <w:rsid w:val="00D20445"/>
    <w:rsid w:val="00D207B3"/>
    <w:rsid w:val="00D227DF"/>
    <w:rsid w:val="00D325EB"/>
    <w:rsid w:val="00D409EB"/>
    <w:rsid w:val="00D41AAA"/>
    <w:rsid w:val="00D423B4"/>
    <w:rsid w:val="00D43ABD"/>
    <w:rsid w:val="00D43FA1"/>
    <w:rsid w:val="00D47F46"/>
    <w:rsid w:val="00D641B4"/>
    <w:rsid w:val="00D65D2C"/>
    <w:rsid w:val="00D733B3"/>
    <w:rsid w:val="00D77FF1"/>
    <w:rsid w:val="00D8010F"/>
    <w:rsid w:val="00D8680C"/>
    <w:rsid w:val="00D87C70"/>
    <w:rsid w:val="00D93971"/>
    <w:rsid w:val="00DA0981"/>
    <w:rsid w:val="00DA32A2"/>
    <w:rsid w:val="00DA4E6B"/>
    <w:rsid w:val="00DB7926"/>
    <w:rsid w:val="00DC2A8E"/>
    <w:rsid w:val="00DC4D27"/>
    <w:rsid w:val="00DD06ED"/>
    <w:rsid w:val="00DD5136"/>
    <w:rsid w:val="00DD572A"/>
    <w:rsid w:val="00DE3ED0"/>
    <w:rsid w:val="00E034C6"/>
    <w:rsid w:val="00E057C5"/>
    <w:rsid w:val="00E066D0"/>
    <w:rsid w:val="00E32A99"/>
    <w:rsid w:val="00E33801"/>
    <w:rsid w:val="00E43C46"/>
    <w:rsid w:val="00E55F2B"/>
    <w:rsid w:val="00E56A97"/>
    <w:rsid w:val="00E853A3"/>
    <w:rsid w:val="00E85C51"/>
    <w:rsid w:val="00E86276"/>
    <w:rsid w:val="00E91B2C"/>
    <w:rsid w:val="00E9657D"/>
    <w:rsid w:val="00E96676"/>
    <w:rsid w:val="00EA21DA"/>
    <w:rsid w:val="00EA31B6"/>
    <w:rsid w:val="00EA397F"/>
    <w:rsid w:val="00EA4A53"/>
    <w:rsid w:val="00EA56AE"/>
    <w:rsid w:val="00EA5EDB"/>
    <w:rsid w:val="00EB20F7"/>
    <w:rsid w:val="00EC34D4"/>
    <w:rsid w:val="00ED50E1"/>
    <w:rsid w:val="00EE4898"/>
    <w:rsid w:val="00EE62FF"/>
    <w:rsid w:val="00EF6FD6"/>
    <w:rsid w:val="00F001CA"/>
    <w:rsid w:val="00F051E8"/>
    <w:rsid w:val="00F0648C"/>
    <w:rsid w:val="00F07301"/>
    <w:rsid w:val="00F07CB3"/>
    <w:rsid w:val="00F1162A"/>
    <w:rsid w:val="00F12342"/>
    <w:rsid w:val="00F12359"/>
    <w:rsid w:val="00F130AF"/>
    <w:rsid w:val="00F21F94"/>
    <w:rsid w:val="00F23384"/>
    <w:rsid w:val="00F23B91"/>
    <w:rsid w:val="00F25BEF"/>
    <w:rsid w:val="00F34FB9"/>
    <w:rsid w:val="00F5142C"/>
    <w:rsid w:val="00F52152"/>
    <w:rsid w:val="00F52599"/>
    <w:rsid w:val="00F52EC7"/>
    <w:rsid w:val="00F55EAE"/>
    <w:rsid w:val="00F57BA1"/>
    <w:rsid w:val="00F607D5"/>
    <w:rsid w:val="00F64B95"/>
    <w:rsid w:val="00F6649B"/>
    <w:rsid w:val="00F66BCA"/>
    <w:rsid w:val="00F82244"/>
    <w:rsid w:val="00F84C9E"/>
    <w:rsid w:val="00F9086D"/>
    <w:rsid w:val="00F9322F"/>
    <w:rsid w:val="00FA686A"/>
    <w:rsid w:val="00FA6A74"/>
    <w:rsid w:val="00FA764B"/>
    <w:rsid w:val="00FB1661"/>
    <w:rsid w:val="00FC38A1"/>
    <w:rsid w:val="00FD1301"/>
    <w:rsid w:val="00FD1D06"/>
    <w:rsid w:val="00FD6659"/>
    <w:rsid w:val="00FE1043"/>
    <w:rsid w:val="00FF5AE7"/>
    <w:rsid w:val="00FF60C6"/>
    <w:rsid w:val="01051BC2"/>
    <w:rsid w:val="016F5C35"/>
    <w:rsid w:val="01853A99"/>
    <w:rsid w:val="01972D60"/>
    <w:rsid w:val="019F29FF"/>
    <w:rsid w:val="01B07530"/>
    <w:rsid w:val="01C93546"/>
    <w:rsid w:val="022A532B"/>
    <w:rsid w:val="02706198"/>
    <w:rsid w:val="02BB10C4"/>
    <w:rsid w:val="02E335AF"/>
    <w:rsid w:val="034E4A22"/>
    <w:rsid w:val="037173F5"/>
    <w:rsid w:val="03E059D2"/>
    <w:rsid w:val="046B7EF9"/>
    <w:rsid w:val="047562DE"/>
    <w:rsid w:val="04900C53"/>
    <w:rsid w:val="049722EE"/>
    <w:rsid w:val="051A30BF"/>
    <w:rsid w:val="051B4077"/>
    <w:rsid w:val="053068BE"/>
    <w:rsid w:val="05BD73DC"/>
    <w:rsid w:val="061B56B0"/>
    <w:rsid w:val="062F3584"/>
    <w:rsid w:val="06611DC8"/>
    <w:rsid w:val="06742669"/>
    <w:rsid w:val="068F1C88"/>
    <w:rsid w:val="06A52A2F"/>
    <w:rsid w:val="06BB1A3E"/>
    <w:rsid w:val="06D27684"/>
    <w:rsid w:val="06E9451C"/>
    <w:rsid w:val="06F47A3E"/>
    <w:rsid w:val="06FE4C7B"/>
    <w:rsid w:val="07C466F9"/>
    <w:rsid w:val="07F10DC0"/>
    <w:rsid w:val="07FE6FB6"/>
    <w:rsid w:val="080D3997"/>
    <w:rsid w:val="082A37BE"/>
    <w:rsid w:val="08935BC4"/>
    <w:rsid w:val="08E64EDB"/>
    <w:rsid w:val="08F76E4E"/>
    <w:rsid w:val="09303886"/>
    <w:rsid w:val="094E2166"/>
    <w:rsid w:val="09545708"/>
    <w:rsid w:val="09B537A1"/>
    <w:rsid w:val="0A8C3D2E"/>
    <w:rsid w:val="0AAD4A9B"/>
    <w:rsid w:val="0AF62434"/>
    <w:rsid w:val="0B201CF0"/>
    <w:rsid w:val="0B4724B0"/>
    <w:rsid w:val="0B72272F"/>
    <w:rsid w:val="0BAC149A"/>
    <w:rsid w:val="0C320844"/>
    <w:rsid w:val="0C58755E"/>
    <w:rsid w:val="0C6E62A7"/>
    <w:rsid w:val="0CAD576F"/>
    <w:rsid w:val="0D495165"/>
    <w:rsid w:val="0D516708"/>
    <w:rsid w:val="0D705D65"/>
    <w:rsid w:val="0D970C3A"/>
    <w:rsid w:val="0DDF6E30"/>
    <w:rsid w:val="0DE04D9C"/>
    <w:rsid w:val="0F0732D8"/>
    <w:rsid w:val="0F1A630E"/>
    <w:rsid w:val="0F2A4A63"/>
    <w:rsid w:val="0FE65D02"/>
    <w:rsid w:val="101843A9"/>
    <w:rsid w:val="10627B38"/>
    <w:rsid w:val="10836A79"/>
    <w:rsid w:val="10A646F2"/>
    <w:rsid w:val="10F055B0"/>
    <w:rsid w:val="10FE2814"/>
    <w:rsid w:val="113A565D"/>
    <w:rsid w:val="11A3282F"/>
    <w:rsid w:val="11BF194F"/>
    <w:rsid w:val="11E526F8"/>
    <w:rsid w:val="12032FD1"/>
    <w:rsid w:val="12501663"/>
    <w:rsid w:val="12921963"/>
    <w:rsid w:val="12976BF4"/>
    <w:rsid w:val="12F706F7"/>
    <w:rsid w:val="12FB32D9"/>
    <w:rsid w:val="131D114D"/>
    <w:rsid w:val="13675AF7"/>
    <w:rsid w:val="13881CB2"/>
    <w:rsid w:val="13AF0DB0"/>
    <w:rsid w:val="13B84C12"/>
    <w:rsid w:val="13D6470E"/>
    <w:rsid w:val="14023069"/>
    <w:rsid w:val="14093F1B"/>
    <w:rsid w:val="140E03CB"/>
    <w:rsid w:val="14572D96"/>
    <w:rsid w:val="14725DF3"/>
    <w:rsid w:val="14BA20EB"/>
    <w:rsid w:val="14E4537D"/>
    <w:rsid w:val="15046010"/>
    <w:rsid w:val="152A714F"/>
    <w:rsid w:val="156D2257"/>
    <w:rsid w:val="15883D87"/>
    <w:rsid w:val="158A4D68"/>
    <w:rsid w:val="15AE338E"/>
    <w:rsid w:val="15D26080"/>
    <w:rsid w:val="160C6692"/>
    <w:rsid w:val="166F2CEE"/>
    <w:rsid w:val="168738C3"/>
    <w:rsid w:val="168C6C88"/>
    <w:rsid w:val="169C4C1E"/>
    <w:rsid w:val="16DE4F0A"/>
    <w:rsid w:val="17072161"/>
    <w:rsid w:val="171D4256"/>
    <w:rsid w:val="17305B1F"/>
    <w:rsid w:val="185D3EB2"/>
    <w:rsid w:val="18AD19C0"/>
    <w:rsid w:val="18F97311"/>
    <w:rsid w:val="19025465"/>
    <w:rsid w:val="192201FD"/>
    <w:rsid w:val="1930599F"/>
    <w:rsid w:val="194467B3"/>
    <w:rsid w:val="194739B0"/>
    <w:rsid w:val="194E1DDE"/>
    <w:rsid w:val="19A9569B"/>
    <w:rsid w:val="19BE4516"/>
    <w:rsid w:val="19C8553A"/>
    <w:rsid w:val="19EF167F"/>
    <w:rsid w:val="1A06776F"/>
    <w:rsid w:val="1A0B1E27"/>
    <w:rsid w:val="1A234E77"/>
    <w:rsid w:val="1A2C240B"/>
    <w:rsid w:val="1A513FF9"/>
    <w:rsid w:val="1ACC509D"/>
    <w:rsid w:val="1ADB0DA2"/>
    <w:rsid w:val="1B06088A"/>
    <w:rsid w:val="1B220777"/>
    <w:rsid w:val="1B574B73"/>
    <w:rsid w:val="1B676744"/>
    <w:rsid w:val="1BC13337"/>
    <w:rsid w:val="1BF6420E"/>
    <w:rsid w:val="1C3E231F"/>
    <w:rsid w:val="1C5E3770"/>
    <w:rsid w:val="1C6540F3"/>
    <w:rsid w:val="1CAC6918"/>
    <w:rsid w:val="1CB53191"/>
    <w:rsid w:val="1CD220F0"/>
    <w:rsid w:val="1CEB540E"/>
    <w:rsid w:val="1D5E4B71"/>
    <w:rsid w:val="1E1B06B9"/>
    <w:rsid w:val="1EBF613B"/>
    <w:rsid w:val="1EC36185"/>
    <w:rsid w:val="1F435EC9"/>
    <w:rsid w:val="1F503903"/>
    <w:rsid w:val="1F786767"/>
    <w:rsid w:val="1FA4765D"/>
    <w:rsid w:val="1FB16189"/>
    <w:rsid w:val="1FCF4B1D"/>
    <w:rsid w:val="1FD646DD"/>
    <w:rsid w:val="1FE2166B"/>
    <w:rsid w:val="201D7FEC"/>
    <w:rsid w:val="20263347"/>
    <w:rsid w:val="20357325"/>
    <w:rsid w:val="204C24C3"/>
    <w:rsid w:val="20702194"/>
    <w:rsid w:val="20836BD8"/>
    <w:rsid w:val="20D005C2"/>
    <w:rsid w:val="21553C7F"/>
    <w:rsid w:val="21B46EA8"/>
    <w:rsid w:val="222D2EDD"/>
    <w:rsid w:val="22320694"/>
    <w:rsid w:val="228E1A7C"/>
    <w:rsid w:val="22941ED8"/>
    <w:rsid w:val="22FD42DA"/>
    <w:rsid w:val="23087A91"/>
    <w:rsid w:val="23471EE9"/>
    <w:rsid w:val="2352717F"/>
    <w:rsid w:val="23660A05"/>
    <w:rsid w:val="237041E3"/>
    <w:rsid w:val="237431B0"/>
    <w:rsid w:val="247316FD"/>
    <w:rsid w:val="24887EA6"/>
    <w:rsid w:val="249204FC"/>
    <w:rsid w:val="24D25A92"/>
    <w:rsid w:val="24DE5DC5"/>
    <w:rsid w:val="251353A8"/>
    <w:rsid w:val="25865479"/>
    <w:rsid w:val="259B1E7E"/>
    <w:rsid w:val="265165AD"/>
    <w:rsid w:val="268F05CC"/>
    <w:rsid w:val="27411DBA"/>
    <w:rsid w:val="27544B9D"/>
    <w:rsid w:val="2770139F"/>
    <w:rsid w:val="27B71403"/>
    <w:rsid w:val="284A4E31"/>
    <w:rsid w:val="2859370C"/>
    <w:rsid w:val="28803835"/>
    <w:rsid w:val="28CC55C8"/>
    <w:rsid w:val="29070618"/>
    <w:rsid w:val="29E66142"/>
    <w:rsid w:val="2A024F82"/>
    <w:rsid w:val="2A251D94"/>
    <w:rsid w:val="2A76755E"/>
    <w:rsid w:val="2AB252CF"/>
    <w:rsid w:val="2ADF3094"/>
    <w:rsid w:val="2B4A014F"/>
    <w:rsid w:val="2B7647A2"/>
    <w:rsid w:val="2B7A4EFF"/>
    <w:rsid w:val="2B9076E2"/>
    <w:rsid w:val="2BD9140F"/>
    <w:rsid w:val="2BE45E6D"/>
    <w:rsid w:val="2BF67D7D"/>
    <w:rsid w:val="2C237419"/>
    <w:rsid w:val="2C531703"/>
    <w:rsid w:val="2C5B2BB8"/>
    <w:rsid w:val="2C69365C"/>
    <w:rsid w:val="2C8A703F"/>
    <w:rsid w:val="2CA624D2"/>
    <w:rsid w:val="2CAB2600"/>
    <w:rsid w:val="2CF6672E"/>
    <w:rsid w:val="2DED3F13"/>
    <w:rsid w:val="2E2B3406"/>
    <w:rsid w:val="2E4A7B35"/>
    <w:rsid w:val="2EE372C3"/>
    <w:rsid w:val="2F1A1FC9"/>
    <w:rsid w:val="2F943E4B"/>
    <w:rsid w:val="2FC7793C"/>
    <w:rsid w:val="2FF2314C"/>
    <w:rsid w:val="2FFB0F18"/>
    <w:rsid w:val="300D3841"/>
    <w:rsid w:val="3024185D"/>
    <w:rsid w:val="304A1A07"/>
    <w:rsid w:val="30C5468C"/>
    <w:rsid w:val="310A600B"/>
    <w:rsid w:val="31394B6D"/>
    <w:rsid w:val="318F3095"/>
    <w:rsid w:val="322054E2"/>
    <w:rsid w:val="32696861"/>
    <w:rsid w:val="329E50A5"/>
    <w:rsid w:val="32FD4595"/>
    <w:rsid w:val="335B5D3E"/>
    <w:rsid w:val="33907B65"/>
    <w:rsid w:val="33B15E67"/>
    <w:rsid w:val="33B77020"/>
    <w:rsid w:val="340269D0"/>
    <w:rsid w:val="34412505"/>
    <w:rsid w:val="34D53C58"/>
    <w:rsid w:val="350202EE"/>
    <w:rsid w:val="350D0E7D"/>
    <w:rsid w:val="35687CE4"/>
    <w:rsid w:val="362C35A8"/>
    <w:rsid w:val="364F58B6"/>
    <w:rsid w:val="3681181F"/>
    <w:rsid w:val="36911E77"/>
    <w:rsid w:val="36932EDB"/>
    <w:rsid w:val="36B46682"/>
    <w:rsid w:val="37620260"/>
    <w:rsid w:val="3764581F"/>
    <w:rsid w:val="37BA5750"/>
    <w:rsid w:val="37CD16BE"/>
    <w:rsid w:val="38114365"/>
    <w:rsid w:val="38C0367A"/>
    <w:rsid w:val="38D67C8C"/>
    <w:rsid w:val="39023EF6"/>
    <w:rsid w:val="39256A34"/>
    <w:rsid w:val="39353471"/>
    <w:rsid w:val="39877ADA"/>
    <w:rsid w:val="39AD746C"/>
    <w:rsid w:val="39C27E4A"/>
    <w:rsid w:val="39CE6967"/>
    <w:rsid w:val="39DF650B"/>
    <w:rsid w:val="39EA2C12"/>
    <w:rsid w:val="3A144156"/>
    <w:rsid w:val="3A175EE4"/>
    <w:rsid w:val="3A7A48F4"/>
    <w:rsid w:val="3AA724BE"/>
    <w:rsid w:val="3B113C56"/>
    <w:rsid w:val="3B166EF3"/>
    <w:rsid w:val="3B2A1697"/>
    <w:rsid w:val="3B357729"/>
    <w:rsid w:val="3B6303A3"/>
    <w:rsid w:val="3B970652"/>
    <w:rsid w:val="3C63749C"/>
    <w:rsid w:val="3C754F46"/>
    <w:rsid w:val="3C7C0AD9"/>
    <w:rsid w:val="3CA27920"/>
    <w:rsid w:val="3CAF6491"/>
    <w:rsid w:val="3CB25365"/>
    <w:rsid w:val="3D090FF5"/>
    <w:rsid w:val="3D266F20"/>
    <w:rsid w:val="3D6E0ED6"/>
    <w:rsid w:val="3D8C7D9E"/>
    <w:rsid w:val="3DDC1CCC"/>
    <w:rsid w:val="3E062AFC"/>
    <w:rsid w:val="3E474407"/>
    <w:rsid w:val="3E5C4F83"/>
    <w:rsid w:val="3E5E374E"/>
    <w:rsid w:val="3EB96119"/>
    <w:rsid w:val="3EBF12C6"/>
    <w:rsid w:val="3ED661F9"/>
    <w:rsid w:val="3FC364AB"/>
    <w:rsid w:val="3FF763C6"/>
    <w:rsid w:val="400F6405"/>
    <w:rsid w:val="40144136"/>
    <w:rsid w:val="401E686E"/>
    <w:rsid w:val="405D1EEF"/>
    <w:rsid w:val="4068667C"/>
    <w:rsid w:val="406D3CCC"/>
    <w:rsid w:val="40BD4D08"/>
    <w:rsid w:val="40E206DE"/>
    <w:rsid w:val="411A6716"/>
    <w:rsid w:val="411F3664"/>
    <w:rsid w:val="41674852"/>
    <w:rsid w:val="41715365"/>
    <w:rsid w:val="417F330F"/>
    <w:rsid w:val="418774A7"/>
    <w:rsid w:val="41B36892"/>
    <w:rsid w:val="423D0E1A"/>
    <w:rsid w:val="42A77643"/>
    <w:rsid w:val="42BB3568"/>
    <w:rsid w:val="433618E3"/>
    <w:rsid w:val="434906EF"/>
    <w:rsid w:val="43902F92"/>
    <w:rsid w:val="43BB5864"/>
    <w:rsid w:val="43D47283"/>
    <w:rsid w:val="44015158"/>
    <w:rsid w:val="443F6670"/>
    <w:rsid w:val="446964C0"/>
    <w:rsid w:val="44D65C21"/>
    <w:rsid w:val="45272B0A"/>
    <w:rsid w:val="455F48D6"/>
    <w:rsid w:val="45741C31"/>
    <w:rsid w:val="457B6D5D"/>
    <w:rsid w:val="457F1C35"/>
    <w:rsid w:val="45B17D82"/>
    <w:rsid w:val="45BD5D2A"/>
    <w:rsid w:val="46185497"/>
    <w:rsid w:val="46A94114"/>
    <w:rsid w:val="46D23591"/>
    <w:rsid w:val="4747483B"/>
    <w:rsid w:val="4752024C"/>
    <w:rsid w:val="479D34DA"/>
    <w:rsid w:val="47AC7F44"/>
    <w:rsid w:val="48384FF9"/>
    <w:rsid w:val="48B4556B"/>
    <w:rsid w:val="48D15C4E"/>
    <w:rsid w:val="49741C41"/>
    <w:rsid w:val="4985592B"/>
    <w:rsid w:val="4A0B2CD5"/>
    <w:rsid w:val="4A312D13"/>
    <w:rsid w:val="4A431B58"/>
    <w:rsid w:val="4A642301"/>
    <w:rsid w:val="4B2847BE"/>
    <w:rsid w:val="4B697359"/>
    <w:rsid w:val="4B726BBC"/>
    <w:rsid w:val="4BB23436"/>
    <w:rsid w:val="4C4654A4"/>
    <w:rsid w:val="4C4C1D0E"/>
    <w:rsid w:val="4C562BEC"/>
    <w:rsid w:val="4C9A4880"/>
    <w:rsid w:val="4CAF2D12"/>
    <w:rsid w:val="4CF2108F"/>
    <w:rsid w:val="4D4A633F"/>
    <w:rsid w:val="4D55097D"/>
    <w:rsid w:val="4D5E77CB"/>
    <w:rsid w:val="4D76741B"/>
    <w:rsid w:val="4D9B0A0F"/>
    <w:rsid w:val="4DB6051A"/>
    <w:rsid w:val="4DDD6FB3"/>
    <w:rsid w:val="4E060928"/>
    <w:rsid w:val="4E235C56"/>
    <w:rsid w:val="4E407A9C"/>
    <w:rsid w:val="4E4468D4"/>
    <w:rsid w:val="4E5B5EB2"/>
    <w:rsid w:val="4E877F54"/>
    <w:rsid w:val="4E8B296E"/>
    <w:rsid w:val="4EF440F3"/>
    <w:rsid w:val="4F3C0534"/>
    <w:rsid w:val="4F5F3126"/>
    <w:rsid w:val="4F7D7854"/>
    <w:rsid w:val="4F7F7588"/>
    <w:rsid w:val="4FEE3C8F"/>
    <w:rsid w:val="4FF84140"/>
    <w:rsid w:val="501C3144"/>
    <w:rsid w:val="50343626"/>
    <w:rsid w:val="5099693A"/>
    <w:rsid w:val="50D504DE"/>
    <w:rsid w:val="50EF7D38"/>
    <w:rsid w:val="51100F7F"/>
    <w:rsid w:val="5110162C"/>
    <w:rsid w:val="514D4ED0"/>
    <w:rsid w:val="51582E03"/>
    <w:rsid w:val="516440E8"/>
    <w:rsid w:val="51AA3409"/>
    <w:rsid w:val="5212048B"/>
    <w:rsid w:val="52153B23"/>
    <w:rsid w:val="52503D47"/>
    <w:rsid w:val="52BE2755"/>
    <w:rsid w:val="52C252CC"/>
    <w:rsid w:val="52D454F2"/>
    <w:rsid w:val="52FC7200"/>
    <w:rsid w:val="532E2091"/>
    <w:rsid w:val="542E3E3B"/>
    <w:rsid w:val="5454185E"/>
    <w:rsid w:val="5461053A"/>
    <w:rsid w:val="5466087F"/>
    <w:rsid w:val="546C79AD"/>
    <w:rsid w:val="548328D3"/>
    <w:rsid w:val="54970FD2"/>
    <w:rsid w:val="54A05FA4"/>
    <w:rsid w:val="54E77D81"/>
    <w:rsid w:val="552672F6"/>
    <w:rsid w:val="55A80DB5"/>
    <w:rsid w:val="55E1405A"/>
    <w:rsid w:val="561E045F"/>
    <w:rsid w:val="5651155E"/>
    <w:rsid w:val="568277FC"/>
    <w:rsid w:val="56902235"/>
    <w:rsid w:val="579322BC"/>
    <w:rsid w:val="57DC07AC"/>
    <w:rsid w:val="58250A7C"/>
    <w:rsid w:val="585D0D73"/>
    <w:rsid w:val="5877287D"/>
    <w:rsid w:val="587E2B60"/>
    <w:rsid w:val="589C7904"/>
    <w:rsid w:val="58BF1CDD"/>
    <w:rsid w:val="594B1977"/>
    <w:rsid w:val="598067D5"/>
    <w:rsid w:val="59866208"/>
    <w:rsid w:val="59965ABB"/>
    <w:rsid w:val="59CC6296"/>
    <w:rsid w:val="59D62AC4"/>
    <w:rsid w:val="5A7523CD"/>
    <w:rsid w:val="5AC874F0"/>
    <w:rsid w:val="5AD47F37"/>
    <w:rsid w:val="5AE56123"/>
    <w:rsid w:val="5AF06C9D"/>
    <w:rsid w:val="5B407769"/>
    <w:rsid w:val="5BA0270B"/>
    <w:rsid w:val="5BB07EA3"/>
    <w:rsid w:val="5C175839"/>
    <w:rsid w:val="5CAE184C"/>
    <w:rsid w:val="5CCC6C02"/>
    <w:rsid w:val="5CCF3427"/>
    <w:rsid w:val="5CD958CD"/>
    <w:rsid w:val="5CED0B5C"/>
    <w:rsid w:val="5D4851DD"/>
    <w:rsid w:val="5D557162"/>
    <w:rsid w:val="5E2F6086"/>
    <w:rsid w:val="5E431810"/>
    <w:rsid w:val="5E654974"/>
    <w:rsid w:val="5E822C64"/>
    <w:rsid w:val="5E8D2FE5"/>
    <w:rsid w:val="5E9E2143"/>
    <w:rsid w:val="5EA14CF3"/>
    <w:rsid w:val="5F9E0A02"/>
    <w:rsid w:val="5FF74ED1"/>
    <w:rsid w:val="602C263E"/>
    <w:rsid w:val="60307729"/>
    <w:rsid w:val="60325BBE"/>
    <w:rsid w:val="60337945"/>
    <w:rsid w:val="606E5643"/>
    <w:rsid w:val="607A1087"/>
    <w:rsid w:val="60BF7B30"/>
    <w:rsid w:val="60D60117"/>
    <w:rsid w:val="60DE1EFA"/>
    <w:rsid w:val="60E50712"/>
    <w:rsid w:val="620E1834"/>
    <w:rsid w:val="62281FEF"/>
    <w:rsid w:val="62492030"/>
    <w:rsid w:val="62B37EF2"/>
    <w:rsid w:val="62D73A94"/>
    <w:rsid w:val="63194217"/>
    <w:rsid w:val="63305152"/>
    <w:rsid w:val="63550450"/>
    <w:rsid w:val="63B63C60"/>
    <w:rsid w:val="63BC4201"/>
    <w:rsid w:val="64132B93"/>
    <w:rsid w:val="64347265"/>
    <w:rsid w:val="64426ECA"/>
    <w:rsid w:val="64450612"/>
    <w:rsid w:val="646A1271"/>
    <w:rsid w:val="646E44A6"/>
    <w:rsid w:val="656D328E"/>
    <w:rsid w:val="65883AB5"/>
    <w:rsid w:val="65F50F8E"/>
    <w:rsid w:val="66312549"/>
    <w:rsid w:val="66397A67"/>
    <w:rsid w:val="667B3592"/>
    <w:rsid w:val="66875EE0"/>
    <w:rsid w:val="66C435DD"/>
    <w:rsid w:val="67C00163"/>
    <w:rsid w:val="67F355AC"/>
    <w:rsid w:val="68710EE3"/>
    <w:rsid w:val="688D12C9"/>
    <w:rsid w:val="6894097E"/>
    <w:rsid w:val="68B257B8"/>
    <w:rsid w:val="69405CFD"/>
    <w:rsid w:val="69A5364A"/>
    <w:rsid w:val="69EC4C56"/>
    <w:rsid w:val="69F42D6B"/>
    <w:rsid w:val="6A0C5365"/>
    <w:rsid w:val="6A5C7947"/>
    <w:rsid w:val="6A641A36"/>
    <w:rsid w:val="6A6D3308"/>
    <w:rsid w:val="6A9402CC"/>
    <w:rsid w:val="6AC55297"/>
    <w:rsid w:val="6AF6102C"/>
    <w:rsid w:val="6B114C1A"/>
    <w:rsid w:val="6B2B4114"/>
    <w:rsid w:val="6B5E7080"/>
    <w:rsid w:val="6B7B5383"/>
    <w:rsid w:val="6B7F0D8F"/>
    <w:rsid w:val="6BB6752A"/>
    <w:rsid w:val="6BB85749"/>
    <w:rsid w:val="6BCE49B7"/>
    <w:rsid w:val="6C1B1768"/>
    <w:rsid w:val="6CC163A1"/>
    <w:rsid w:val="6D7C2742"/>
    <w:rsid w:val="6DAC0B96"/>
    <w:rsid w:val="6DF9485E"/>
    <w:rsid w:val="6E2C5A0D"/>
    <w:rsid w:val="6E4D179F"/>
    <w:rsid w:val="6E93051E"/>
    <w:rsid w:val="6F28368B"/>
    <w:rsid w:val="6F5F48E4"/>
    <w:rsid w:val="6F6019D1"/>
    <w:rsid w:val="6F8C77B6"/>
    <w:rsid w:val="6FC32718"/>
    <w:rsid w:val="70252703"/>
    <w:rsid w:val="70543150"/>
    <w:rsid w:val="7076728C"/>
    <w:rsid w:val="70C715EC"/>
    <w:rsid w:val="7118323A"/>
    <w:rsid w:val="71307C87"/>
    <w:rsid w:val="713D0CB0"/>
    <w:rsid w:val="72863E4F"/>
    <w:rsid w:val="728B3C94"/>
    <w:rsid w:val="72A67657"/>
    <w:rsid w:val="73000CF9"/>
    <w:rsid w:val="73126A27"/>
    <w:rsid w:val="73C94A09"/>
    <w:rsid w:val="73DC46E0"/>
    <w:rsid w:val="73F03AA8"/>
    <w:rsid w:val="7404686E"/>
    <w:rsid w:val="74123FA8"/>
    <w:rsid w:val="74154608"/>
    <w:rsid w:val="741A26D9"/>
    <w:rsid w:val="746D05F1"/>
    <w:rsid w:val="74731B85"/>
    <w:rsid w:val="74D27347"/>
    <w:rsid w:val="74E4025B"/>
    <w:rsid w:val="75342426"/>
    <w:rsid w:val="755E7366"/>
    <w:rsid w:val="75615004"/>
    <w:rsid w:val="757B1C85"/>
    <w:rsid w:val="761F505D"/>
    <w:rsid w:val="76AE4031"/>
    <w:rsid w:val="76B07C6D"/>
    <w:rsid w:val="76E45852"/>
    <w:rsid w:val="771D706E"/>
    <w:rsid w:val="77464ED6"/>
    <w:rsid w:val="78083786"/>
    <w:rsid w:val="78153E8C"/>
    <w:rsid w:val="78343CE1"/>
    <w:rsid w:val="785B2C70"/>
    <w:rsid w:val="788C033F"/>
    <w:rsid w:val="78D13A33"/>
    <w:rsid w:val="78F718E7"/>
    <w:rsid w:val="79BE26D1"/>
    <w:rsid w:val="79BE5BBE"/>
    <w:rsid w:val="79C52AA7"/>
    <w:rsid w:val="79E42E56"/>
    <w:rsid w:val="7B6332DF"/>
    <w:rsid w:val="7B642DC3"/>
    <w:rsid w:val="7B9E0270"/>
    <w:rsid w:val="7BE729DC"/>
    <w:rsid w:val="7C442459"/>
    <w:rsid w:val="7C7B6F55"/>
    <w:rsid w:val="7CAF622F"/>
    <w:rsid w:val="7CC30F06"/>
    <w:rsid w:val="7D08231F"/>
    <w:rsid w:val="7D327789"/>
    <w:rsid w:val="7D496A70"/>
    <w:rsid w:val="7D607D01"/>
    <w:rsid w:val="7DFD0298"/>
    <w:rsid w:val="7E1356DA"/>
    <w:rsid w:val="7EE73054"/>
    <w:rsid w:val="7F321906"/>
    <w:rsid w:val="7FC53A36"/>
    <w:rsid w:val="7FE54E46"/>
    <w:rsid w:val="7FF53094"/>
  </w:rsid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2"/>
    <w:qFormat/>
    <w:uiPriority w:val="0"/>
    <w:pPr>
      <w:keepNext/>
      <w:keepLines/>
      <w:spacing w:beforeAutospacing="0" w:afterAutospacing="0" w:line="560" w:lineRule="exact"/>
      <w:jc w:val="center"/>
      <w:outlineLvl w:val="0"/>
    </w:pPr>
    <w:rPr>
      <w:rFonts w:eastAsia="黑体"/>
      <w:kern w:val="44"/>
      <w:sz w:val="32"/>
      <w:szCs w:val="20"/>
    </w:rPr>
  </w:style>
  <w:style w:type="paragraph" w:styleId="3">
    <w:name w:val="heading 2"/>
    <w:basedOn w:val="1"/>
    <w:next w:val="1"/>
    <w:link w:val="11"/>
    <w:qFormat/>
    <w:uiPriority w:val="0"/>
    <w:pPr>
      <w:keepNext/>
      <w:keepLines/>
      <w:spacing w:beforeLines="0" w:beforeAutospacing="0" w:afterLines="0" w:afterAutospacing="0" w:line="560" w:lineRule="exact"/>
      <w:ind w:firstLine="640" w:firstLineChars="200"/>
      <w:outlineLvl w:val="1"/>
    </w:pPr>
    <w:rPr>
      <w:rFonts w:ascii="Arial" w:hAnsi="Arial" w:eastAsia="黑体"/>
      <w:kern w:val="0"/>
      <w:sz w:val="32"/>
      <w:szCs w:val="20"/>
    </w:rPr>
  </w:style>
  <w:style w:type="paragraph" w:styleId="4">
    <w:name w:val="heading 3"/>
    <w:basedOn w:val="1"/>
    <w:next w:val="1"/>
    <w:qFormat/>
    <w:uiPriority w:val="9"/>
    <w:pPr>
      <w:keepNext/>
      <w:keepLines/>
      <w:spacing w:before="200" w:beforeLines="200" w:beforeAutospacing="0" w:after="100" w:afterLines="100" w:afterAutospacing="0" w:line="560" w:lineRule="exact"/>
      <w:jc w:val="center"/>
      <w:outlineLvl w:val="2"/>
    </w:pPr>
    <w:rPr>
      <w:sz w:val="44"/>
    </w:rPr>
  </w:style>
  <w:style w:type="character" w:default="1" w:styleId="8">
    <w:name w:val="Default Paragraph Font"/>
    <w:unhideWhenUsed/>
    <w:qFormat/>
    <w:uiPriority w:val="1"/>
  </w:style>
  <w:style w:type="table" w:default="1" w:styleId="9">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Layout w:type="fixed"/>
      <w:tblCellMar>
        <w:top w:w="0" w:type="dxa"/>
        <w:left w:w="108" w:type="dxa"/>
        <w:bottom w:w="0" w:type="dxa"/>
        <w:right w:w="108" w:type="dxa"/>
      </w:tblCellMar>
    </w:tblPr>
    <w:tcPr>
      <w:textDirection w:val="lrTb"/>
    </w:tcPr>
  </w:style>
  <w:style w:type="paragraph" w:styleId="5">
    <w:name w:val="footer"/>
    <w:basedOn w:val="1"/>
    <w:unhideWhenUsed/>
    <w:uiPriority w:val="99"/>
    <w:pPr>
      <w:tabs>
        <w:tab w:val="center" w:pos="4153"/>
        <w:tab w:val="right" w:pos="8306"/>
      </w:tabs>
      <w:snapToGrid w:val="0"/>
      <w:jc w:val="left"/>
    </w:pPr>
    <w:rPr>
      <w:sz w:val="18"/>
    </w:rPr>
  </w:style>
  <w:style w:type="paragraph" w:styleId="6">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unhideWhenUsed/>
    <w:qFormat/>
    <w:uiPriority w:val="39"/>
    <w:pPr>
      <w:spacing w:line="560" w:lineRule="exact"/>
      <w:ind w:left="630" w:leftChars="300" w:right="630" w:rightChars="300"/>
    </w:pPr>
    <w:rPr>
      <w:rFonts w:eastAsia="楷体"/>
      <w:sz w:val="32"/>
    </w:rPr>
  </w:style>
  <w:style w:type="paragraph" w:customStyle="1" w:styleId="10">
    <w:name w:val="目录"/>
    <w:basedOn w:val="1"/>
    <w:qFormat/>
    <w:uiPriority w:val="0"/>
    <w:pPr>
      <w:spacing w:line="560" w:lineRule="exact"/>
      <w:ind w:firstLine="640" w:firstLineChars="200"/>
      <w:jc w:val="both"/>
    </w:pPr>
    <w:rPr>
      <w:rFonts w:eastAsia="楷体"/>
      <w:sz w:val="32"/>
    </w:rPr>
  </w:style>
  <w:style w:type="character" w:customStyle="1" w:styleId="11">
    <w:name w:val="标题 2 Char"/>
    <w:link w:val="3"/>
    <w:qFormat/>
    <w:uiPriority w:val="0"/>
    <w:rPr>
      <w:rFonts w:ascii="Arial" w:hAnsi="Arial" w:eastAsia="黑体"/>
      <w:sz w:val="32"/>
    </w:rPr>
  </w:style>
  <w:style w:type="character" w:customStyle="1" w:styleId="12">
    <w:name w:val="标题 1 Char"/>
    <w:link w:val="2"/>
    <w:uiPriority w:val="0"/>
    <w:rPr>
      <w:rFonts w:ascii="Calibri" w:hAnsi="Calibri" w:eastAsia="黑体"/>
      <w:kern w:val="44"/>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9</Pages>
  <Words>562</Words>
  <Characters>3204</Characters>
  <Lines>26</Lines>
  <Paragraphs>7</Paragraphs>
  <ScaleCrop>false</ScaleCrop>
  <LinksUpToDate>false</LinksUpToDate>
  <CharactersWithSpaces>3759</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2016-08-23T02:18:00Z</dcterms:created>
  <dc:creator>Sky123.Org</dc:creator>
  <cp:lastModifiedBy>Administrator</cp:lastModifiedBy>
  <dcterms:modified xsi:type="dcterms:W3CDTF">2017-02-16T16:53:06Z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