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before="0" w:after="0" w:line="579" w:lineRule="exact"/>
        <w:ind w:left="0" w:leftChars="0" w:right="0" w:rightChars="0"/>
        <w:jc w:val="both"/>
        <w:textAlignment w:val="auto"/>
        <w:rPr>
          <w:rFonts w:hint="eastAsia" w:eastAsia="宋体"/>
          <w:sz w:val="32"/>
          <w:szCs w:val="32"/>
          <w:lang w:eastAsia="zh-CN"/>
        </w:rPr>
      </w:pPr>
    </w:p>
    <w:p>
      <w:pPr>
        <w:pStyle w:val="2"/>
        <w:pageBreakBefore w:val="0"/>
        <w:widowControl w:val="0"/>
        <w:kinsoku/>
        <w:wordWrap/>
        <w:overflowPunct/>
        <w:topLinePunct w:val="0"/>
        <w:autoSpaceDE/>
        <w:autoSpaceDN/>
        <w:bidi w:val="0"/>
        <w:adjustRightInd/>
        <w:snapToGrid/>
        <w:spacing w:before="0" w:after="0" w:line="579" w:lineRule="exact"/>
        <w:ind w:left="0" w:leftChars="0" w:right="0" w:rightChars="0"/>
        <w:jc w:val="both"/>
        <w:textAlignment w:val="auto"/>
        <w:rPr>
          <w:rFonts w:hint="eastAsia"/>
          <w:sz w:val="32"/>
          <w:szCs w:val="32"/>
        </w:rPr>
      </w:pPr>
    </w:p>
    <w:p>
      <w:pPr>
        <w:pStyle w:val="2"/>
        <w:pageBreakBefore w:val="0"/>
        <w:widowControl w:val="0"/>
        <w:kinsoku/>
        <w:wordWrap/>
        <w:overflowPunct/>
        <w:topLinePunct w:val="0"/>
        <w:autoSpaceDE/>
        <w:autoSpaceDN/>
        <w:bidi w:val="0"/>
        <w:adjustRightInd/>
        <w:snapToGrid/>
        <w:spacing w:before="0" w:after="0" w:line="579" w:lineRule="exact"/>
        <w:ind w:left="0" w:leftChars="0" w:right="0" w:rightChars="0"/>
        <w:jc w:val="center"/>
        <w:textAlignment w:val="auto"/>
        <w:rPr>
          <w:rFonts w:hint="eastAsia"/>
          <w:b w:val="0"/>
          <w:bCs w:val="0"/>
          <w:sz w:val="44"/>
          <w:szCs w:val="44"/>
        </w:rPr>
      </w:pPr>
      <w:r>
        <w:rPr>
          <w:rFonts w:hint="eastAsia"/>
          <w:b w:val="0"/>
          <w:bCs w:val="0"/>
          <w:sz w:val="44"/>
          <w:szCs w:val="44"/>
        </w:rPr>
        <w:t>海口市社会医疗机构管理办法</w:t>
      </w:r>
    </w:p>
    <w:p>
      <w:pPr>
        <w:pageBreakBefore w:val="0"/>
        <w:widowControl w:val="0"/>
        <w:kinsoku/>
        <w:wordWrap/>
        <w:overflowPunct/>
        <w:topLinePunct w:val="0"/>
        <w:autoSpaceDE/>
        <w:autoSpaceDN/>
        <w:bidi w:val="0"/>
        <w:adjustRightInd/>
        <w:snapToGrid/>
        <w:spacing w:line="579" w:lineRule="exact"/>
        <w:ind w:right="0" w:rightChars="0"/>
        <w:jc w:val="both"/>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（2009年10月30日海口市第十四届人民代表大会常务委员会第二十三次会议通过</w:t>
      </w:r>
      <w:r>
        <w:rPr>
          <w:rFonts w:hint="eastAsia" w:ascii="楷体_GB2312" w:hAnsi="楷体_GB2312" w:eastAsia="楷体_GB2312" w:cs="楷体_GB2312"/>
          <w:sz w:val="32"/>
          <w:szCs w:val="32"/>
          <w:lang w:val="en-US" w:eastAsia="zh-CN"/>
        </w:rPr>
        <w:t xml:space="preserve">  </w:t>
      </w:r>
      <w:bookmarkStart w:id="0" w:name="_GoBack"/>
      <w:r>
        <w:rPr>
          <w:rFonts w:hint="eastAsia" w:ascii="楷体_GB2312" w:hAnsi="楷体_GB2312" w:eastAsia="楷体_GB2312" w:cs="楷体_GB2312"/>
          <w:sz w:val="32"/>
          <w:szCs w:val="32"/>
        </w:rPr>
        <w:t>2009年11月27日</w:t>
      </w:r>
      <w:bookmarkEnd w:id="0"/>
      <w:r>
        <w:rPr>
          <w:rFonts w:hint="eastAsia" w:ascii="楷体_GB2312" w:hAnsi="楷体_GB2312" w:eastAsia="楷体_GB2312" w:cs="楷体_GB2312"/>
          <w:sz w:val="32"/>
          <w:szCs w:val="32"/>
        </w:rPr>
        <w:t>海南省第四届人民代表大会常务委员会第十二次会议批准</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2009年12月23日海口市第十四届人民代表大会常务委员会公告第10号公布</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自2010年3月1日起施行）</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firstLine="405"/>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目    录</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总则</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设置审批</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执业登记</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执业规范</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监督管理</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  法律责任</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第七章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附则</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center"/>
        <w:textAlignment w:val="auto"/>
        <w:rPr>
          <w:rFonts w:hint="eastAsia"/>
          <w:sz w:val="32"/>
          <w:szCs w:val="32"/>
          <w:lang w:val="en-US" w:eastAsia="zh-CN"/>
        </w:rPr>
      </w:pPr>
    </w:p>
    <w:p>
      <w:pPr>
        <w:pageBreakBefore w:val="0"/>
        <w:widowControl w:val="0"/>
        <w:numPr>
          <w:ilvl w:val="0"/>
          <w:numId w:val="0"/>
        </w:numPr>
        <w:kinsoku/>
        <w:wordWrap/>
        <w:overflowPunct/>
        <w:topLinePunct w:val="0"/>
        <w:autoSpaceDE/>
        <w:autoSpaceDN/>
        <w:bidi w:val="0"/>
        <w:adjustRightInd/>
        <w:snapToGrid/>
        <w:spacing w:line="579" w:lineRule="exact"/>
        <w:ind w:right="0" w:rightChars="0"/>
        <w:jc w:val="center"/>
        <w:textAlignment w:val="auto"/>
        <w:rPr>
          <w:rFonts w:hint="eastAsia" w:ascii="宋体" w:hAnsi="宋体" w:eastAsia="宋体" w:cs="宋体"/>
          <w:sz w:val="32"/>
          <w:szCs w:val="32"/>
        </w:rPr>
      </w:pPr>
      <w:r>
        <w:rPr>
          <w:rFonts w:hint="eastAsia" w:ascii="黑体" w:hAnsi="黑体" w:eastAsia="黑体" w:cs="黑体"/>
          <w:sz w:val="32"/>
          <w:szCs w:val="32"/>
          <w:lang w:val="en-US" w:eastAsia="zh-CN"/>
        </w:rPr>
        <w:t xml:space="preserve">第一章  </w:t>
      </w:r>
      <w:r>
        <w:rPr>
          <w:rFonts w:hint="eastAsia" w:ascii="黑体" w:hAnsi="黑体" w:eastAsia="黑体" w:cs="黑体"/>
          <w:sz w:val="32"/>
          <w:szCs w:val="32"/>
        </w:rPr>
        <w:t>总则</w:t>
      </w:r>
    </w:p>
    <w:p>
      <w:pPr>
        <w:pageBreakBefore w:val="0"/>
        <w:widowControl w:val="0"/>
        <w:numPr>
          <w:ilvl w:val="0"/>
          <w:numId w:val="0"/>
        </w:numPr>
        <w:kinsoku/>
        <w:wordWrap/>
        <w:overflowPunct/>
        <w:topLinePunct w:val="0"/>
        <w:autoSpaceDE/>
        <w:autoSpaceDN/>
        <w:bidi w:val="0"/>
        <w:adjustRightInd/>
        <w:snapToGrid/>
        <w:spacing w:line="579" w:lineRule="exact"/>
        <w:ind w:leftChars="200" w:right="0" w:rightChars="0"/>
        <w:jc w:val="both"/>
        <w:textAlignment w:val="auto"/>
        <w:rPr>
          <w:rFonts w:hint="eastAsia" w:ascii="宋体" w:hAnsi="宋体" w:eastAsia="宋体" w:cs="宋体"/>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为加强对社会医疗机构的管理，引导和规范社会医疗机构健康发展，保障公民健康，根据《中华人民共和国执业医师法》和国务院《医疗机构管理条例》等法律、法规，结合本市实际，制定本办法。</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本办法所称社会医疗机构，是指由自然人、法人和其他组织自筹资金开办的各类医院、门诊部、社区卫生服务机构、诊所、卫生所（站）、医务室、卫生保健所、村卫生所（室）等医疗机构。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本市行政区域内社会医疗机构的设置、执业及监督管理适用本办法。</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市卫生行政部门负责全市社会医疗机构的监督管理工作。区卫生行政部门负责本辖区内社会医疗机构的监督管理工作，并接受市卫生行政部门的监督和指导。</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公安、工商、食品药品监督、人口和计划生育、价格、城市管理行政执法、住房和城乡建设、环境保护等管理部门在各自职责范围内协同做好社会医疗机构监督管理工作。</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鼓励社会资本投资医疗卫生事业，设立社会医疗机构。积极促进社会医疗机构与公立医疗机构共同发展。</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引导社会资本按照医疗机构设置规划，在乡村、社区等医疗卫生发展不足的地方投资设立医疗机构。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鼓励社会资本投资开办非营利性医疗机构。非营利性社会医疗机构依法享受税收等优惠待遇。</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社会医疗机构在医保定点、科研立项、职称评定和继续教育等方面依法与公立医疗机构享受同等待遇。</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社会医疗机构应当依法从事诊疗活动，以防病治病，救死扶伤、为公民健康服务为宗旨，遵守诊疗护理技术规范，恪守医疗服务职业道德。</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宋体" w:hAnsi="宋体" w:eastAsia="宋体" w:cs="宋体"/>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鼓励、支持社会医疗机构建立行业协会，加强行业自律，增强诚信经营意识，提高社会医疗机构的社会信誉度。</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宋体" w:hAnsi="宋体" w:eastAsia="宋体" w:cs="宋体"/>
          <w:sz w:val="32"/>
          <w:szCs w:val="32"/>
        </w:rPr>
      </w:pPr>
    </w:p>
    <w:p>
      <w:pPr>
        <w:pageBreakBefore w:val="0"/>
        <w:widowControl w:val="0"/>
        <w:numPr>
          <w:ilvl w:val="0"/>
          <w:numId w:val="0"/>
        </w:numPr>
        <w:kinsoku/>
        <w:wordWrap/>
        <w:overflowPunct/>
        <w:topLinePunct w:val="0"/>
        <w:autoSpaceDE/>
        <w:autoSpaceDN/>
        <w:bidi w:val="0"/>
        <w:adjustRightInd/>
        <w:snapToGrid/>
        <w:spacing w:line="579" w:lineRule="exact"/>
        <w:ind w:right="0" w:rightChars="0"/>
        <w:jc w:val="center"/>
        <w:textAlignment w:val="auto"/>
        <w:rPr>
          <w:rFonts w:hint="eastAsia" w:ascii="宋体" w:hAnsi="宋体" w:eastAsia="宋体" w:cs="宋体"/>
          <w:sz w:val="32"/>
          <w:szCs w:val="32"/>
        </w:rPr>
      </w:pPr>
      <w:r>
        <w:rPr>
          <w:rFonts w:hint="eastAsia" w:ascii="黑体" w:hAnsi="黑体" w:eastAsia="黑体" w:cs="黑体"/>
          <w:sz w:val="32"/>
          <w:szCs w:val="32"/>
          <w:lang w:eastAsia="zh-CN"/>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设置审批</w:t>
      </w:r>
    </w:p>
    <w:p>
      <w:pPr>
        <w:pageBreakBefore w:val="0"/>
        <w:widowControl w:val="0"/>
        <w:numPr>
          <w:ilvl w:val="0"/>
          <w:numId w:val="0"/>
        </w:numPr>
        <w:kinsoku/>
        <w:wordWrap/>
        <w:overflowPunct/>
        <w:topLinePunct w:val="0"/>
        <w:autoSpaceDE/>
        <w:autoSpaceDN/>
        <w:bidi w:val="0"/>
        <w:adjustRightInd/>
        <w:snapToGrid/>
        <w:spacing w:line="579" w:lineRule="exact"/>
        <w:ind w:leftChars="200" w:right="0" w:rightChars="0"/>
        <w:jc w:val="both"/>
        <w:textAlignment w:val="auto"/>
        <w:rPr>
          <w:rFonts w:hint="eastAsia" w:ascii="宋体" w:hAnsi="宋体" w:eastAsia="宋体" w:cs="宋体"/>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市卫生行政部门根据国家有关规定，结合本市实际情况制定本市医疗机构设置规划，并向社会公布。</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社会资本可以根据医疗机构设置规划和市场需求，自主决定举办各类医疗机构。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单位和个人申请设置社会医疗机构，应当符合国家规定的条件，并按照以下规定提出申请：</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（一）设置社区卫生服务站、诊所、卫生所（站）、医务室、卫生保健所、村卫生室（所）等，向区卫生行政部门申请；</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（二）设置床位100张以下的综合医院、社区卫生服务中心、门诊部等，向市卫生行政部门申请；</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（三）其他社会医疗机构按照有关规定向省卫生行政部门申请。</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卫生行政部门审批社会医疗机构设置申请时，应当在媒体或拟设置地点向社会公示，并可以根据需要进行可行性论证或者组织听证。</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卫生行政部门应当依法对社会医疗机构设置申请进行审查，并自受理之日起20个工作日内，做出是否批准的决定。决定批准设置的，发给《设置医疗机构批准书》；决定不批准设置的，应当书面说明理由。</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卫生行政部门应当在核发《设置医疗机构批准书》之日起5个工作日内，向上一级卫生行政部门备案。</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床位100张以下的医院，其《设置医疗机构批准书》的有效期为1年；不设床位的其他社会医疗机构，其《设置医疗机构批准书》的有效期为半年。</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在《设置医疗机构批准书》有效期内不能完成筹建工作的，可在有效期届满前30日内，向批准设置的卫生行政部门申请延期1次，设床位的社会医疗机构的延期时限为半年，不设床位的延期时限为3个月。</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延长期限届满仍不能完成筹建工作，其《设置医疗机构批准书》自动失效。</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宋体" w:hAnsi="宋体" w:eastAsia="宋体" w:cs="宋体"/>
          <w:sz w:val="32"/>
          <w:szCs w:val="32"/>
        </w:rPr>
      </w:pPr>
      <w:r>
        <w:rPr>
          <w:rFonts w:hint="eastAsia" w:ascii="仿宋_GB2312" w:hAnsi="仿宋_GB2312" w:eastAsia="仿宋_GB2312" w:cs="仿宋_GB2312"/>
          <w:sz w:val="32"/>
          <w:szCs w:val="32"/>
        </w:rPr>
        <w:t>变更《设置医疗机构批准书》核准的事项，应当重新申请办理设置审批手续。</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宋体" w:hAnsi="宋体" w:eastAsia="宋体" w:cs="宋体"/>
          <w:sz w:val="32"/>
          <w:szCs w:val="32"/>
        </w:rPr>
      </w:pPr>
    </w:p>
    <w:p>
      <w:pPr>
        <w:pageBreakBefore w:val="0"/>
        <w:widowControl w:val="0"/>
        <w:numPr>
          <w:ilvl w:val="0"/>
          <w:numId w:val="0"/>
        </w:numPr>
        <w:kinsoku/>
        <w:wordWrap/>
        <w:overflowPunct/>
        <w:topLinePunct w:val="0"/>
        <w:autoSpaceDE/>
        <w:autoSpaceDN/>
        <w:bidi w:val="0"/>
        <w:adjustRightInd/>
        <w:snapToGrid/>
        <w:spacing w:line="579" w:lineRule="exact"/>
        <w:ind w:right="0" w:rightChars="0"/>
        <w:jc w:val="center"/>
        <w:textAlignment w:val="auto"/>
        <w:rPr>
          <w:rFonts w:hint="eastAsia" w:ascii="宋体" w:hAnsi="宋体" w:eastAsia="宋体" w:cs="宋体"/>
          <w:sz w:val="32"/>
          <w:szCs w:val="32"/>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执业登记</w:t>
      </w:r>
    </w:p>
    <w:p>
      <w:pPr>
        <w:pageBreakBefore w:val="0"/>
        <w:widowControl w:val="0"/>
        <w:numPr>
          <w:ilvl w:val="0"/>
          <w:numId w:val="0"/>
        </w:numPr>
        <w:kinsoku/>
        <w:wordWrap/>
        <w:overflowPunct/>
        <w:topLinePunct w:val="0"/>
        <w:autoSpaceDE/>
        <w:autoSpaceDN/>
        <w:bidi w:val="0"/>
        <w:adjustRightInd/>
        <w:snapToGrid/>
        <w:spacing w:line="579" w:lineRule="exact"/>
        <w:ind w:leftChars="200" w:right="0" w:rightChars="0"/>
        <w:jc w:val="both"/>
        <w:textAlignment w:val="auto"/>
        <w:rPr>
          <w:rFonts w:hint="eastAsia" w:ascii="宋体" w:hAnsi="宋体" w:eastAsia="宋体" w:cs="宋体"/>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社会医疗机构执业，应当向批准其设置的卫生行政部门申请执业登记，取得《医疗机构执业许可证》。</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社会医疗机构申请执业登记，应当符合国家规定的条件，并按照规定提交有关文件材料。</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卫生行政部门应当将社会医疗机构申请执业登记的条件、程序、需要提交的执业登记申请材料目录等在办公场所公示。</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卫生行政部门应当自受理之日起20个工作日内，依法对社会医疗机构执业登记申请进行审核。审核合格、决定予以登记的，发给《医疗机构执业许可证》；审核不合格，决定不予登记的，应当书面说明理由。</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卫生行政部门审核社会医疗机构执业登记申请，应当实地考察和核实社会医疗机构是否符合医疗机构的基本标准和法律、法规规定的其他条件，并由其指派的考察核实工作人员签署考察核实意见。</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社会医疗机构变更名称、地址、法定代表人或者主要负责人、所有制形式、诊疗科目、床位（牙椅）的，应当向批准其执业登记的卫生行政部门办理变更登记。</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属个体行医的社会医疗机构，其主要负责人（设置人）不得变更。主要负责人不继续在该机构执业的，应当按照本办法第十七条的规定注销《医疗机构执业许可证》。</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卫生行政部门应当自受理申请之日起20个工作日内依法对医疗机构变更登记进行审核，并做出是否予以变更的决定。予以变更登记的，换发新的《医疗机构执业许可证》；不予以变更登记的，应当书面说明理由。</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社会医疗机构发生以下情形之一的，应当在15日内向批准其执业登记的卫生行政部门申请办理注销登记，卫生行政部门经核准注销后，收回《医疗机构执业许可证》及副本和印章，并报上一级卫生行政部门备案；逾期不申请办理注销手续的，由卫生行政部门依法注销后予以公告：</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（一）破产、解散；</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（二）歇业；</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（三）因分立或合并而终止；</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（四）因跨区变更执业地址；</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（五）被依法吊销医疗机构执业许可证；</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（六）属个体行医的社会医疗机构的主要负责人（设置人）失踪或者被宣告失踪、死亡或者被宣告死亡以及因其他原因不继续在该社会医疗机构执业的；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（七）法律法规规定的其他情形。</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社会医疗机构非因改建、扩建、迁建原因停业超过1年的，视为歇业。</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社会医疗机构执业许可证不得买卖、出租、出借，不得私自涂改。</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社会医疗机构或者其所属科室不得出租、发包或者变相出租、发包给他人经营。</w:t>
      </w:r>
    </w:p>
    <w:p>
      <w:pPr>
        <w:pageBreakBefore w:val="0"/>
        <w:widowControl w:val="0"/>
        <w:numPr>
          <w:ilvl w:val="0"/>
          <w:numId w:val="1"/>
        </w:numPr>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宋体" w:hAnsi="宋体" w:eastAsia="宋体" w:cs="宋体"/>
          <w:sz w:val="32"/>
          <w:szCs w:val="32"/>
        </w:rPr>
      </w:pPr>
      <w:r>
        <w:rPr>
          <w:rFonts w:hint="eastAsia" w:ascii="仿宋_GB2312" w:hAnsi="仿宋_GB2312" w:eastAsia="仿宋_GB2312" w:cs="仿宋_GB2312"/>
          <w:sz w:val="32"/>
          <w:szCs w:val="32"/>
        </w:rPr>
        <w:t xml:space="preserve"> 社会医疗机构名称不得出租、出借。未经核准机关许可，医疗机构名称不得转让。</w:t>
      </w:r>
    </w:p>
    <w:p>
      <w:pPr>
        <w:pageBreakBefore w:val="0"/>
        <w:widowControl w:val="0"/>
        <w:numPr>
          <w:ilvl w:val="0"/>
          <w:numId w:val="0"/>
        </w:numPr>
        <w:kinsoku/>
        <w:wordWrap/>
        <w:overflowPunct/>
        <w:topLinePunct w:val="0"/>
        <w:autoSpaceDE/>
        <w:autoSpaceDN/>
        <w:bidi w:val="0"/>
        <w:adjustRightInd/>
        <w:snapToGrid/>
        <w:spacing w:line="579" w:lineRule="exact"/>
        <w:ind w:leftChars="200" w:right="0" w:rightChars="0"/>
        <w:jc w:val="both"/>
        <w:textAlignment w:val="auto"/>
        <w:rPr>
          <w:rFonts w:hint="eastAsia" w:ascii="宋体" w:hAnsi="宋体" w:eastAsia="宋体" w:cs="宋体"/>
          <w:sz w:val="32"/>
          <w:szCs w:val="32"/>
        </w:rPr>
      </w:pPr>
    </w:p>
    <w:p>
      <w:pPr>
        <w:pageBreakBefore w:val="0"/>
        <w:widowControl w:val="0"/>
        <w:numPr>
          <w:ilvl w:val="0"/>
          <w:numId w:val="0"/>
        </w:numPr>
        <w:kinsoku/>
        <w:wordWrap/>
        <w:overflowPunct/>
        <w:topLinePunct w:val="0"/>
        <w:autoSpaceDE/>
        <w:autoSpaceDN/>
        <w:bidi w:val="0"/>
        <w:adjustRightInd/>
        <w:snapToGrid/>
        <w:spacing w:line="579" w:lineRule="exact"/>
        <w:ind w:right="0" w:rightChars="0"/>
        <w:jc w:val="center"/>
        <w:textAlignment w:val="auto"/>
        <w:rPr>
          <w:rFonts w:hint="eastAsia" w:ascii="宋体" w:hAnsi="宋体" w:eastAsia="宋体" w:cs="宋体"/>
          <w:sz w:val="32"/>
          <w:szCs w:val="32"/>
        </w:rPr>
      </w:pPr>
      <w:r>
        <w:rPr>
          <w:rFonts w:hint="eastAsia" w:ascii="黑体" w:hAnsi="黑体" w:eastAsia="黑体" w:cs="黑体"/>
          <w:sz w:val="32"/>
          <w:szCs w:val="32"/>
          <w:lang w:val="en-US" w:eastAsia="zh-CN"/>
        </w:rPr>
        <w:t xml:space="preserve">第四章  </w:t>
      </w:r>
      <w:r>
        <w:rPr>
          <w:rFonts w:hint="eastAsia" w:ascii="黑体" w:hAnsi="黑体" w:eastAsia="黑体" w:cs="黑体"/>
          <w:sz w:val="32"/>
          <w:szCs w:val="32"/>
        </w:rPr>
        <w:t>执业规范</w:t>
      </w:r>
    </w:p>
    <w:p>
      <w:pPr>
        <w:pageBreakBefore w:val="0"/>
        <w:widowControl w:val="0"/>
        <w:numPr>
          <w:ilvl w:val="0"/>
          <w:numId w:val="0"/>
        </w:numPr>
        <w:kinsoku/>
        <w:wordWrap/>
        <w:overflowPunct/>
        <w:topLinePunct w:val="0"/>
        <w:autoSpaceDE/>
        <w:autoSpaceDN/>
        <w:bidi w:val="0"/>
        <w:adjustRightInd/>
        <w:snapToGrid/>
        <w:spacing w:line="579" w:lineRule="exact"/>
        <w:ind w:leftChars="200" w:right="0" w:rightChars="0"/>
        <w:jc w:val="both"/>
        <w:textAlignment w:val="auto"/>
        <w:rPr>
          <w:rFonts w:hint="eastAsia" w:ascii="宋体" w:hAnsi="宋体" w:eastAsia="宋体" w:cs="宋体"/>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任何单位或者个人，未经医疗机构执业登记许可，不得开办医疗机构从事诊疗活动。</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单位内设的医疗机构不得对外从事诊疗活动，但急诊急救除外。</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取得《医疗机构执业许可证》的社会医疗机构，应当在经核准登记的执业地址开展诊疗活动，将《医疗机构执业许可证》、诊疗科目、诊疗时间和收费标准等在诊疗场所醒目位置悬挂。</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社会医疗机构使用的牌匾、工作人员的标牌等应当符合卫生行政部门规定的标准。</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社会医疗机构的执业活动不得超出登记的诊疗科目范围，但急诊和急救除外。</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社会医疗机构未经批准，不得开展计划生育手术。</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除医学需要外，社会医疗机构不得利用超声等技术手段进行胎儿性别鉴定，不得开展选择性别的人工终止妊娠手术。</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社会医疗机构开展医疗新技术、新项目临床应用应当遵守国家有关规定。</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社会医疗机构医疗服务价格公示，应当标明政府基准价、指导价和本医疗机构实行的医疗服务价格。</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鼓励社会医疗机构实行政府指导价。对承担公共卫生服务的社会医疗机构依法给予合理补助。</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社会医疗机构聘用卫生技术人员如确需进行短期试用的，可依法约定试用期，并向批准其执业登记的卫生行政部门提供下列材料备案：</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（一）拟聘单位的《医疗机构执业许可证》的副本复印件；</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（二）受聘医务人员的执业证书（职称证书）复印件；</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（三）聘用合约。</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受聘的卫生技术人员在试用期间未办理变更注册登记的，不得独立执业。</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卫生技术人员试用期满后确定聘用的，社会医疗机构应当在20个工作日内向批准其执业登记的卫生行政部门办理卫生技术人员执业变更注册登记手续。</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社会医疗机构不得聘用非卫生技术人员从事医疗卫生技术工作。聘用卫生技术人员从事本专业以外的医疗活动的，按聘用非卫生技术人员处理。</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社会医疗机构应当建立健全医师外出会诊制度。医师未经其所属医疗机构同意不得外出会诊。</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禁止以会诊为名，变相邀请其他医疗机构医务人员施行手术、坐堂行医。</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社会医疗机构应当按照有关药品管理的法律、法规，加强药品管理，不得使用假劣药品、失效药品以及违禁药品。</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社会医疗机构不得使用未经注册、无合格证明、过期、失效或者淘汰的医疗器械；不得重复使用一次性使用的医疗器械。</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社会医疗机构应当按照有关法律、法规或者规章的规定加强医院消毒、隔离工作的管理，并采取有效措施处理医疗污水和废弃物。</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社会医疗机构应当及时将医疗废弃物交医疗废物集中处置单位进行回收和处理。</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社会医疗机构发布医疗广告，应当取得省级卫生行政部门核发的《医疗广告审查证明》，按照经核准的广告成品样件内容与媒体类别发布。</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广告经营者、广告发布者发布医疗广告，应当查验《医疗广告审查证明》，核实广告内容。</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社会医疗机构未经卫生行政部门备案不得开展义诊活动。禁止以义诊名义开展非法行医、虚假宣传、推销药品或者器械等活动。</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组织非医疗、预防、保健机构或者非医护人员参加义诊的，视为非法行医。</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社会医疗机构及其工作人员在从事医疗执业活动中，不得利用医托等不正当竞争方法招徕病人。</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社会医疗机构应当加强对医疗文件的管理，使用的病历、处方等医疗文件应当符合卫生行政部门规定的标准。</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医师应当按照有关规定为患者规范记载（开具）病历、处方。</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社会医疗机构应当对其出具的诊断证明或者其他专业性文件的真实性负责，不得出具内容失实、导人误解或者导人规避法律责任的各种专业性文件。</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社会医疗机构发生医疗事故或者重大医疗过失行为的，应当按规定时限向卫生行政部门报告，并采取有效措施封存、保留现场实物和资料，不得伪造、涂改、破坏、销毁、隐匿证据及采用其他方式逃避责任。</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社会医疗机构发现法定报告传染病病例或疑似病例时，应当按照《中华人民共和国传染病防治法》等法律、法规的规定进行登记和向有关部门报告，并及时做好医疗救护或者转诊工作，对被传染病病原体污染的场所、物品实施消毒和无害化处置。</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宋体" w:hAnsi="宋体" w:eastAsia="宋体" w:cs="宋体"/>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发生自然灾害、传染病流行、重大伤亡事故以及其他严重威胁人民群众生命健康的紧急情况时，社会医疗机构应当根据卫生行政部门的工作安排，承担紧急医疗救援、疫情和疾病防控任务。</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宋体" w:hAnsi="宋体" w:eastAsia="宋体" w:cs="宋体"/>
          <w:sz w:val="32"/>
          <w:szCs w:val="32"/>
        </w:rPr>
      </w:pPr>
    </w:p>
    <w:p>
      <w:pPr>
        <w:pageBreakBefore w:val="0"/>
        <w:widowControl w:val="0"/>
        <w:numPr>
          <w:ilvl w:val="0"/>
          <w:numId w:val="0"/>
        </w:numPr>
        <w:kinsoku/>
        <w:wordWrap/>
        <w:overflowPunct/>
        <w:topLinePunct w:val="0"/>
        <w:autoSpaceDE/>
        <w:autoSpaceDN/>
        <w:bidi w:val="0"/>
        <w:adjustRightInd/>
        <w:snapToGrid/>
        <w:spacing w:line="579" w:lineRule="exact"/>
        <w:ind w:right="0" w:rightChars="0"/>
        <w:jc w:val="center"/>
        <w:textAlignment w:val="auto"/>
        <w:rPr>
          <w:rFonts w:hint="eastAsia" w:ascii="宋体" w:hAnsi="宋体" w:eastAsia="宋体" w:cs="宋体"/>
          <w:sz w:val="32"/>
          <w:szCs w:val="32"/>
        </w:rPr>
      </w:pPr>
      <w:r>
        <w:rPr>
          <w:rFonts w:hint="eastAsia" w:ascii="黑体" w:hAnsi="黑体" w:eastAsia="黑体" w:cs="黑体"/>
          <w:sz w:val="32"/>
          <w:szCs w:val="32"/>
          <w:lang w:eastAsia="zh-CN"/>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监督管理</w:t>
      </w:r>
    </w:p>
    <w:p>
      <w:pPr>
        <w:pageBreakBefore w:val="0"/>
        <w:widowControl w:val="0"/>
        <w:numPr>
          <w:ilvl w:val="0"/>
          <w:numId w:val="0"/>
        </w:numPr>
        <w:kinsoku/>
        <w:wordWrap/>
        <w:overflowPunct/>
        <w:topLinePunct w:val="0"/>
        <w:autoSpaceDE/>
        <w:autoSpaceDN/>
        <w:bidi w:val="0"/>
        <w:adjustRightInd/>
        <w:snapToGrid/>
        <w:spacing w:line="579" w:lineRule="exact"/>
        <w:ind w:leftChars="200" w:right="0" w:rightChars="0"/>
        <w:jc w:val="both"/>
        <w:textAlignment w:val="auto"/>
        <w:rPr>
          <w:rFonts w:hint="eastAsia" w:ascii="宋体" w:hAnsi="宋体" w:eastAsia="宋体" w:cs="宋体"/>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卫生行政部门应当建立社会医疗机构日常监督管理制度，对社会医疗机构的基本标准、执业行为、医疗质量、医疗安全、诚信度、社会满意度、环境保护等进行监督管理。</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行政部门应当建立健全社会医疗机构登记注册档案、日常监督管理和不良执业行为记分档案，并通过政府相关网站或者本市主要新闻媒体将监督管理及社会医疗机构不良执业行为进行公示，每年至少公示一次。</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社会医疗机构不良执业行为记分的具体办法和记分标准按照省卫生行政部门的规定执行。社会医疗机构信用制度、年度质量考核的具体办法由市卫生行政部门另行制定。</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对社会医疗机构实行校验制度。社会医疗机构在达到国家规定的校验期时，应当向批准其执业登记的卫生行政部门申请校验，提供有关材料。</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卫生行政部门应当按照国家有关规定对社会医疗机构进行校验。社会医疗机构有下列情形之一的，卫生行政部门应当作出暂缓校验结论，下达整改通知书，并根据情况，给予1至6个月的暂缓校验期：</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（一）校验审查所涉及的有关文件、病案和材料存在隐瞒、弄虚作假情况；</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（二）不符合医疗机构基本标准；</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（三）限期整改期间；</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（四）停业整顿期间；</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（五）国家规定应当暂缓校验的其他情形。</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社会医疗机构在暂缓校验期内，不得发布医疗服务信息和广告。未设床位的社会医疗机构不得执业；设床位的社会医疗机构，除急救外，不得开展门诊业务、收治新病人。</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暂缓校验期满仍来能通过校验，或者期满后在规定时间内未提出再次校验申请的，由批准其执业登记的卫生行政部门注销其《医疗机构执业许可证》。</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卫生行政部门应当经常检查利用承租住房或者其他场所非法从事诊疗活动的情况。公安机关、居（村）民委员会等有关单位，发现非医疗机构或非卫生技术人员利用承租住房或者其他场所从事诊疗活动的，应当告知卫生行政部门。</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房屋出租人发现非医疗机构或非卫生技术人员利用承租房从事诊疗活动的，应当向当地卫生行政部门或者公安机关、居（村）民委员会等有关单位报告。</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宋体" w:hAnsi="宋体" w:eastAsia="宋体" w:cs="宋体"/>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卫生行政部门应当采取多种形式培训社会医疗机构卫生技术人员，提高社会医疗机构的医疗技术水平。所需经费，列入财政预算。</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宋体" w:hAnsi="宋体" w:eastAsia="宋体" w:cs="宋体"/>
          <w:sz w:val="32"/>
          <w:szCs w:val="32"/>
        </w:rPr>
      </w:pPr>
    </w:p>
    <w:p>
      <w:pPr>
        <w:pageBreakBefore w:val="0"/>
        <w:widowControl w:val="0"/>
        <w:numPr>
          <w:ilvl w:val="0"/>
          <w:numId w:val="0"/>
        </w:numPr>
        <w:kinsoku/>
        <w:wordWrap/>
        <w:overflowPunct/>
        <w:topLinePunct w:val="0"/>
        <w:autoSpaceDE/>
        <w:autoSpaceDN/>
        <w:bidi w:val="0"/>
        <w:adjustRightInd/>
        <w:snapToGrid/>
        <w:spacing w:line="579" w:lineRule="exact"/>
        <w:ind w:right="0" w:rightChars="0"/>
        <w:jc w:val="center"/>
        <w:textAlignment w:val="auto"/>
        <w:rPr>
          <w:rFonts w:hint="eastAsia" w:ascii="宋体" w:hAnsi="宋体" w:eastAsia="宋体" w:cs="宋体"/>
          <w:sz w:val="32"/>
          <w:szCs w:val="32"/>
        </w:rPr>
      </w:pPr>
      <w:r>
        <w:rPr>
          <w:rFonts w:hint="eastAsia" w:ascii="黑体" w:hAnsi="黑体" w:eastAsia="黑体" w:cs="黑体"/>
          <w:sz w:val="32"/>
          <w:szCs w:val="32"/>
          <w:lang w:eastAsia="zh-CN"/>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pageBreakBefore w:val="0"/>
        <w:widowControl w:val="0"/>
        <w:numPr>
          <w:ilvl w:val="0"/>
          <w:numId w:val="0"/>
        </w:numPr>
        <w:kinsoku/>
        <w:wordWrap/>
        <w:overflowPunct/>
        <w:topLinePunct w:val="0"/>
        <w:autoSpaceDE/>
        <w:autoSpaceDN/>
        <w:bidi w:val="0"/>
        <w:adjustRightInd/>
        <w:snapToGrid/>
        <w:spacing w:line="579" w:lineRule="exact"/>
        <w:ind w:leftChars="200" w:right="0" w:rightChars="0"/>
        <w:jc w:val="both"/>
        <w:textAlignment w:val="auto"/>
        <w:rPr>
          <w:rFonts w:hint="eastAsia" w:ascii="宋体" w:hAnsi="宋体" w:eastAsia="宋体" w:cs="宋体"/>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xml:space="preserve">  社会医疗机构违反本办法规定的行为，法律、法规已有处罚规定的，从其规定。</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xml:space="preserve">  违反本办法规定，未取得执业许可证擅自开办医疗机构从事诊疗活动的，由卫生行政部门予以取缔，没收其违法所得及其药品、器械，处以3万以上10万元以下罚款；给患者造成损害的，依法承担赔偿责任；构成犯罪的，依法追究刑事责任。</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违反本办法第十八条规定，将医疗机构或者所属科室出租或者发包给他人经营的，由卫生行政部门责令限期改正，没收违法所得，处以1万元以上3万以下罚款；有下列情形之一的，吊销《医疗机构执业许可证》：</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（一）将医疗机构或者所属科室出租或者发包给非卫生技术专业人员；</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（二）医疗机构或者所属科室承租方或者承包方给患者造成伤害；</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（三）其他情节严重的行为。</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xml:space="preserve">  违反本办法第十九条规定，出租、出借或者未经批准转让医疗机构名称的，由卫生行政部门责令限期改正，没收其非法所得，处以1000元以上3000元以下的罚款。</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xml:space="preserve">  违反本办法第二十条规定，单位内设医疗机构对外从事诊疗活动的，处以3000元以上1万元以下的罚款；情节严重的，处以1万元以上3万元以下罚款。</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xml:space="preserve">  违反本办法第二十五条规定，医师未经所属医疗机构同意外出会诊，或者社会医疗机构以会诊为名变相邀请其他医疗机构医务人员施行手术、坐堂行医的，由卫生行政部门责令限期改正，处以3000元以上1万元以下的罚款；情节严重的，处以1万元以上3万元以下罚款。</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xml:space="preserve">  社会医疗机构违反本办法第二十八条规定发布医疗广告的，由卫生行政部门责令其限期改正。对再次违反规定发布医疗广告的，责令其停业整顿，吊销有关诊疗科目；情节严重的，吊销《医疗机构执业许可证》。</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rPr>
        <w:t xml:space="preserve">  违反本办法第二十九条规定，未经卫生行政部门备案开展义诊活动，或者以义诊名义进行虚假宣传，推销药品或者器械的，由卫生行政部门责令其停止义诊活动，处以3000元以上1万元以下的罚款；情节严重的，处以1万元以上3万元以下罚款。</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rPr>
        <w:t xml:space="preserve">  违反本办法第三十条规定，利用医托等不正当竞争方法招徕病人的，由卫生行政部门责令限期改正，处以3000元以上1万元以下罚款；情节严重的，吊销《医疗机构执业许可证》。</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rPr>
        <w:t xml:space="preserve">  违反本办法第三十三条规定，来按规定时限向卫生行政部门报告医疗事故或者重大医疗过失行为以及有其他逃避责任行为的，由卫生行政部门视情节轻重，给予批评教育、警告、责令停业整顿；情节严重的，吊销其《医疗机构执业许可证》。</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仿宋_GB2312" w:hAnsi="仿宋_GB2312" w:eastAsia="仿宋_GB2312" w:cs="仿宋_GB2312"/>
          <w:sz w:val="32"/>
          <w:szCs w:val="32"/>
        </w:rPr>
        <w:t xml:space="preserve">  房屋出租人违反本办法第三十八条第二款规定，发现非医疗机构或非卫生技术人员利用承租房从事诊疗活动而不报告的，由卫生行政部门给予批评教育、警告，并可根据情节处以200元以上500元以下罚款。</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rPr>
        <w:t xml:space="preserve">  卫生行政部门、有关行政部门及其工作人员在社会医疗机构监督管理中滥用职权、玩忽职守、徇私舞弊，有下列情形之一的，由其所在单位、监察机关或者上级主管机关责令其改正；情节严重的，对直接负责的主管人员和其他直接责任人员，依法给予行政处分；造成经济损失的，依法承担赔偿责任；构成犯罪的，依法追究刑事责任：</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（一）对不符合条件的社会医疗机构设置，予以批准的；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（二）对不符合条件的社会医疗机构执业登记申请，准予登记的；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（三）未在规定的期限内办结社会医疗机构设置、执业登记行政许可事项的；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（四）违反本办法第十四条第二款规定，对执业登记申请没有实地考察和核实情况的；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（五）违反本办法第三十八条第一款规定，不对利用承租住房或其他场所非法从事诊疗活动进行经常检查造成严重后果的；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（六）发现社会医疗机构违法行为不予查处，或者接到举报后不及时查处的；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宋体" w:hAnsi="宋体" w:eastAsia="宋体" w:cs="宋体"/>
          <w:sz w:val="32"/>
          <w:szCs w:val="32"/>
        </w:rPr>
      </w:pPr>
      <w:r>
        <w:rPr>
          <w:rFonts w:hint="eastAsia" w:ascii="仿宋_GB2312" w:hAnsi="仿宋_GB2312" w:eastAsia="仿宋_GB2312" w:cs="仿宋_GB2312"/>
          <w:sz w:val="32"/>
          <w:szCs w:val="32"/>
        </w:rPr>
        <w:t>（七）其他违反本办法规定的情形。</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宋体" w:hAnsi="宋体" w:eastAsia="宋体" w:cs="宋体"/>
          <w:sz w:val="32"/>
          <w:szCs w:val="32"/>
        </w:rPr>
      </w:pPr>
    </w:p>
    <w:p>
      <w:pPr>
        <w:pageBreakBefore w:val="0"/>
        <w:widowControl w:val="0"/>
        <w:numPr>
          <w:ilvl w:val="0"/>
          <w:numId w:val="0"/>
        </w:numPr>
        <w:kinsoku/>
        <w:wordWrap/>
        <w:overflowPunct/>
        <w:topLinePunct w:val="0"/>
        <w:autoSpaceDE/>
        <w:autoSpaceDN/>
        <w:bidi w:val="0"/>
        <w:adjustRightInd/>
        <w:snapToGrid/>
        <w:spacing w:line="579" w:lineRule="exact"/>
        <w:ind w:right="0" w:rightChars="0"/>
        <w:jc w:val="center"/>
        <w:textAlignment w:val="auto"/>
        <w:rPr>
          <w:rFonts w:hint="eastAsia" w:ascii="宋体" w:hAnsi="宋体" w:eastAsia="宋体" w:cs="宋体"/>
          <w:sz w:val="32"/>
          <w:szCs w:val="32"/>
        </w:rPr>
      </w:pPr>
      <w:r>
        <w:rPr>
          <w:rFonts w:hint="eastAsia" w:ascii="黑体" w:hAnsi="黑体" w:eastAsia="黑体" w:cs="黑体"/>
          <w:sz w:val="32"/>
          <w:szCs w:val="32"/>
          <w:lang w:eastAsia="zh-CN"/>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pageBreakBefore w:val="0"/>
        <w:widowControl w:val="0"/>
        <w:numPr>
          <w:ilvl w:val="0"/>
          <w:numId w:val="0"/>
        </w:numPr>
        <w:kinsoku/>
        <w:wordWrap/>
        <w:overflowPunct/>
        <w:topLinePunct w:val="0"/>
        <w:autoSpaceDE/>
        <w:autoSpaceDN/>
        <w:bidi w:val="0"/>
        <w:adjustRightInd/>
        <w:snapToGrid/>
        <w:spacing w:line="579" w:lineRule="exact"/>
        <w:ind w:right="0" w:rightChars="0"/>
        <w:jc w:val="both"/>
        <w:textAlignment w:val="auto"/>
        <w:rPr>
          <w:rFonts w:hint="eastAsia" w:ascii="宋体" w:hAnsi="宋体" w:eastAsia="宋体" w:cs="宋体"/>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仿宋_GB2312" w:hAnsi="仿宋_GB2312" w:eastAsia="仿宋_GB2312" w:cs="仿宋_GB2312"/>
          <w:sz w:val="32"/>
          <w:szCs w:val="32"/>
        </w:rPr>
        <w:t xml:space="preserve">  本办法具体应用问题由市人民政府负责解释。</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仿宋_GB2312" w:hAnsi="仿宋_GB2312" w:eastAsia="仿宋_GB2312" w:cs="仿宋_GB2312"/>
          <w:sz w:val="32"/>
          <w:szCs w:val="32"/>
        </w:rPr>
        <w:t xml:space="preserve">  本办法自2010年3月1日起施行。</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jc w:val="both"/>
        <w:textAlignment w:val="auto"/>
        <w:rPr>
          <w:sz w:val="32"/>
          <w:szCs w:val="32"/>
        </w:rPr>
      </w:pPr>
    </w:p>
    <w:sectPr>
      <w:headerReference r:id="rId3" w:type="default"/>
      <w:footerReference r:id="rId5" w:type="default"/>
      <w:headerReference r:id="rId4" w:type="even"/>
      <w:footerReference r:id="rId6" w:type="even"/>
      <w:pgSz w:w="11906" w:h="16838"/>
      <w:pgMar w:top="2098" w:right="1474" w:bottom="1984" w:left="1587" w:header="851" w:footer="1701"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path/>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478C8"/>
    <w:multiLevelType w:val="singleLevel"/>
    <w:tmpl w:val="588478C8"/>
    <w:lvl w:ilvl="0" w:tentative="0">
      <w:start w:val="19"/>
      <w:numFmt w:val="chineseCounting"/>
      <w:suff w:val="space"/>
      <w:lvlText w:val="第%1条"/>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2685"/>
    <w:rsid w:val="00001750"/>
    <w:rsid w:val="0000340C"/>
    <w:rsid w:val="00011AC1"/>
    <w:rsid w:val="00011D9F"/>
    <w:rsid w:val="00020A20"/>
    <w:rsid w:val="00021023"/>
    <w:rsid w:val="000264FE"/>
    <w:rsid w:val="00030BCF"/>
    <w:rsid w:val="00033866"/>
    <w:rsid w:val="00034988"/>
    <w:rsid w:val="00036A4D"/>
    <w:rsid w:val="00037C0F"/>
    <w:rsid w:val="00041C83"/>
    <w:rsid w:val="00047BFC"/>
    <w:rsid w:val="000500DC"/>
    <w:rsid w:val="00052A33"/>
    <w:rsid w:val="00052D4D"/>
    <w:rsid w:val="0005749E"/>
    <w:rsid w:val="000609A6"/>
    <w:rsid w:val="00060F29"/>
    <w:rsid w:val="0006273D"/>
    <w:rsid w:val="0006618D"/>
    <w:rsid w:val="00072464"/>
    <w:rsid w:val="00074D6C"/>
    <w:rsid w:val="000756F9"/>
    <w:rsid w:val="000768C6"/>
    <w:rsid w:val="00077698"/>
    <w:rsid w:val="00082CC3"/>
    <w:rsid w:val="00083444"/>
    <w:rsid w:val="00094790"/>
    <w:rsid w:val="00095F35"/>
    <w:rsid w:val="00097286"/>
    <w:rsid w:val="000A088B"/>
    <w:rsid w:val="000A4C59"/>
    <w:rsid w:val="000A7102"/>
    <w:rsid w:val="000B0165"/>
    <w:rsid w:val="000B204D"/>
    <w:rsid w:val="000B224E"/>
    <w:rsid w:val="000B4127"/>
    <w:rsid w:val="000B68AB"/>
    <w:rsid w:val="000D2ED3"/>
    <w:rsid w:val="000D5758"/>
    <w:rsid w:val="000E2227"/>
    <w:rsid w:val="000E5A53"/>
    <w:rsid w:val="000E5B7A"/>
    <w:rsid w:val="000F058B"/>
    <w:rsid w:val="000F0AF9"/>
    <w:rsid w:val="000F6AF0"/>
    <w:rsid w:val="000F77F9"/>
    <w:rsid w:val="00101BDB"/>
    <w:rsid w:val="00102240"/>
    <w:rsid w:val="0010342C"/>
    <w:rsid w:val="001044C4"/>
    <w:rsid w:val="001059F5"/>
    <w:rsid w:val="0010786F"/>
    <w:rsid w:val="00112CC7"/>
    <w:rsid w:val="001158BC"/>
    <w:rsid w:val="00115B16"/>
    <w:rsid w:val="001161B3"/>
    <w:rsid w:val="001162D1"/>
    <w:rsid w:val="00122B5B"/>
    <w:rsid w:val="00125939"/>
    <w:rsid w:val="00126E08"/>
    <w:rsid w:val="00130B50"/>
    <w:rsid w:val="00140791"/>
    <w:rsid w:val="00142081"/>
    <w:rsid w:val="00142485"/>
    <w:rsid w:val="00163D20"/>
    <w:rsid w:val="001745F8"/>
    <w:rsid w:val="00175626"/>
    <w:rsid w:val="00175B28"/>
    <w:rsid w:val="00176EBE"/>
    <w:rsid w:val="00185286"/>
    <w:rsid w:val="00185798"/>
    <w:rsid w:val="001871D6"/>
    <w:rsid w:val="00191E1E"/>
    <w:rsid w:val="00193D2A"/>
    <w:rsid w:val="00195B19"/>
    <w:rsid w:val="00195E5A"/>
    <w:rsid w:val="001A09A4"/>
    <w:rsid w:val="001A151A"/>
    <w:rsid w:val="001A1566"/>
    <w:rsid w:val="001A4F73"/>
    <w:rsid w:val="001B0DEC"/>
    <w:rsid w:val="001B1067"/>
    <w:rsid w:val="001B42FC"/>
    <w:rsid w:val="001B5448"/>
    <w:rsid w:val="001B5B5F"/>
    <w:rsid w:val="001B6EDD"/>
    <w:rsid w:val="001B76C3"/>
    <w:rsid w:val="001B7E7D"/>
    <w:rsid w:val="001D17A2"/>
    <w:rsid w:val="001D1ECD"/>
    <w:rsid w:val="001E2423"/>
    <w:rsid w:val="001E25B9"/>
    <w:rsid w:val="001E54E4"/>
    <w:rsid w:val="001E6B2E"/>
    <w:rsid w:val="001F0538"/>
    <w:rsid w:val="001F2089"/>
    <w:rsid w:val="001F6397"/>
    <w:rsid w:val="002033DF"/>
    <w:rsid w:val="00204818"/>
    <w:rsid w:val="00207B0F"/>
    <w:rsid w:val="0021163B"/>
    <w:rsid w:val="0021359B"/>
    <w:rsid w:val="00214B89"/>
    <w:rsid w:val="002260A1"/>
    <w:rsid w:val="00227343"/>
    <w:rsid w:val="002330BE"/>
    <w:rsid w:val="00234A2C"/>
    <w:rsid w:val="002364A3"/>
    <w:rsid w:val="00242563"/>
    <w:rsid w:val="002428FF"/>
    <w:rsid w:val="002441C8"/>
    <w:rsid w:val="00244B4C"/>
    <w:rsid w:val="0025431F"/>
    <w:rsid w:val="00263E87"/>
    <w:rsid w:val="00264693"/>
    <w:rsid w:val="00266420"/>
    <w:rsid w:val="002670AE"/>
    <w:rsid w:val="00271B10"/>
    <w:rsid w:val="00275937"/>
    <w:rsid w:val="00281AB1"/>
    <w:rsid w:val="00281B5E"/>
    <w:rsid w:val="00287A72"/>
    <w:rsid w:val="00287E68"/>
    <w:rsid w:val="0029007B"/>
    <w:rsid w:val="00295772"/>
    <w:rsid w:val="0029631D"/>
    <w:rsid w:val="002968DE"/>
    <w:rsid w:val="00296A54"/>
    <w:rsid w:val="002A1B5A"/>
    <w:rsid w:val="002A40D1"/>
    <w:rsid w:val="002B6692"/>
    <w:rsid w:val="002C0824"/>
    <w:rsid w:val="002C2277"/>
    <w:rsid w:val="002C3877"/>
    <w:rsid w:val="002C73B8"/>
    <w:rsid w:val="002D6ED1"/>
    <w:rsid w:val="002E23D0"/>
    <w:rsid w:val="002E25BD"/>
    <w:rsid w:val="002F112B"/>
    <w:rsid w:val="002F4B27"/>
    <w:rsid w:val="00301A82"/>
    <w:rsid w:val="00301FAD"/>
    <w:rsid w:val="003047E8"/>
    <w:rsid w:val="00304AC5"/>
    <w:rsid w:val="0031169C"/>
    <w:rsid w:val="003135D1"/>
    <w:rsid w:val="00315E20"/>
    <w:rsid w:val="00315FBB"/>
    <w:rsid w:val="00317524"/>
    <w:rsid w:val="00320721"/>
    <w:rsid w:val="00320F02"/>
    <w:rsid w:val="0032186E"/>
    <w:rsid w:val="0032252A"/>
    <w:rsid w:val="0032468A"/>
    <w:rsid w:val="00327254"/>
    <w:rsid w:val="00331DB4"/>
    <w:rsid w:val="00337ED7"/>
    <w:rsid w:val="0034032E"/>
    <w:rsid w:val="00340962"/>
    <w:rsid w:val="00353AD2"/>
    <w:rsid w:val="0035418C"/>
    <w:rsid w:val="00355CA1"/>
    <w:rsid w:val="00356CCB"/>
    <w:rsid w:val="003610E3"/>
    <w:rsid w:val="00363F09"/>
    <w:rsid w:val="003655C7"/>
    <w:rsid w:val="0037046A"/>
    <w:rsid w:val="00371559"/>
    <w:rsid w:val="00383D2E"/>
    <w:rsid w:val="00386765"/>
    <w:rsid w:val="00387D85"/>
    <w:rsid w:val="00392602"/>
    <w:rsid w:val="00393965"/>
    <w:rsid w:val="003962F0"/>
    <w:rsid w:val="003A0E6E"/>
    <w:rsid w:val="003A1329"/>
    <w:rsid w:val="003A3E39"/>
    <w:rsid w:val="003A42E7"/>
    <w:rsid w:val="003A69E5"/>
    <w:rsid w:val="003B5247"/>
    <w:rsid w:val="003B5A44"/>
    <w:rsid w:val="003B61D8"/>
    <w:rsid w:val="003C1B4A"/>
    <w:rsid w:val="003C1C82"/>
    <w:rsid w:val="003C39F2"/>
    <w:rsid w:val="003C439B"/>
    <w:rsid w:val="003D1C7D"/>
    <w:rsid w:val="003D338E"/>
    <w:rsid w:val="003D403B"/>
    <w:rsid w:val="003D470B"/>
    <w:rsid w:val="003D5D25"/>
    <w:rsid w:val="003D76F1"/>
    <w:rsid w:val="003E2300"/>
    <w:rsid w:val="003E2341"/>
    <w:rsid w:val="003E24E0"/>
    <w:rsid w:val="003E253C"/>
    <w:rsid w:val="003E5D1D"/>
    <w:rsid w:val="003F1301"/>
    <w:rsid w:val="003F1697"/>
    <w:rsid w:val="003F1963"/>
    <w:rsid w:val="003F1AD6"/>
    <w:rsid w:val="003F2DA8"/>
    <w:rsid w:val="003F5EA1"/>
    <w:rsid w:val="003F7F6E"/>
    <w:rsid w:val="0040026A"/>
    <w:rsid w:val="00400F67"/>
    <w:rsid w:val="0040106D"/>
    <w:rsid w:val="004015C0"/>
    <w:rsid w:val="00403C7A"/>
    <w:rsid w:val="00410503"/>
    <w:rsid w:val="004315AC"/>
    <w:rsid w:val="00436108"/>
    <w:rsid w:val="0044137B"/>
    <w:rsid w:val="004509AD"/>
    <w:rsid w:val="00476C6B"/>
    <w:rsid w:val="00485F36"/>
    <w:rsid w:val="00490ECB"/>
    <w:rsid w:val="00496DE0"/>
    <w:rsid w:val="004A71CF"/>
    <w:rsid w:val="004B25DF"/>
    <w:rsid w:val="004B7081"/>
    <w:rsid w:val="004C16A6"/>
    <w:rsid w:val="004C358F"/>
    <w:rsid w:val="004C6A96"/>
    <w:rsid w:val="004C6F76"/>
    <w:rsid w:val="004E05D4"/>
    <w:rsid w:val="004E1E4F"/>
    <w:rsid w:val="004E3775"/>
    <w:rsid w:val="004E3C37"/>
    <w:rsid w:val="004E5B0B"/>
    <w:rsid w:val="004F1EE9"/>
    <w:rsid w:val="004F49EC"/>
    <w:rsid w:val="004F4C25"/>
    <w:rsid w:val="00500C03"/>
    <w:rsid w:val="00501866"/>
    <w:rsid w:val="00501C67"/>
    <w:rsid w:val="00506D56"/>
    <w:rsid w:val="0051397C"/>
    <w:rsid w:val="005166D0"/>
    <w:rsid w:val="00516D2A"/>
    <w:rsid w:val="0053063D"/>
    <w:rsid w:val="0053126D"/>
    <w:rsid w:val="00541508"/>
    <w:rsid w:val="00552784"/>
    <w:rsid w:val="00556E03"/>
    <w:rsid w:val="0055763D"/>
    <w:rsid w:val="00567D54"/>
    <w:rsid w:val="00567EC1"/>
    <w:rsid w:val="005751BF"/>
    <w:rsid w:val="005836B7"/>
    <w:rsid w:val="00585A51"/>
    <w:rsid w:val="005930F3"/>
    <w:rsid w:val="00595D32"/>
    <w:rsid w:val="005A09FC"/>
    <w:rsid w:val="005A7814"/>
    <w:rsid w:val="005B0F6A"/>
    <w:rsid w:val="005B1F1D"/>
    <w:rsid w:val="005B3748"/>
    <w:rsid w:val="005B505C"/>
    <w:rsid w:val="005B6394"/>
    <w:rsid w:val="005B7EDD"/>
    <w:rsid w:val="005C1752"/>
    <w:rsid w:val="005C35E0"/>
    <w:rsid w:val="005C45C3"/>
    <w:rsid w:val="005C5DAE"/>
    <w:rsid w:val="005D001A"/>
    <w:rsid w:val="005D01E5"/>
    <w:rsid w:val="005D0C22"/>
    <w:rsid w:val="005D3B4F"/>
    <w:rsid w:val="005D59F9"/>
    <w:rsid w:val="005E4890"/>
    <w:rsid w:val="005E6878"/>
    <w:rsid w:val="005F527C"/>
    <w:rsid w:val="005F56F8"/>
    <w:rsid w:val="005F78B8"/>
    <w:rsid w:val="00606961"/>
    <w:rsid w:val="006119A1"/>
    <w:rsid w:val="00614BB0"/>
    <w:rsid w:val="006223BC"/>
    <w:rsid w:val="00623FDB"/>
    <w:rsid w:val="006321F0"/>
    <w:rsid w:val="00642393"/>
    <w:rsid w:val="00644B9B"/>
    <w:rsid w:val="006452D1"/>
    <w:rsid w:val="00646479"/>
    <w:rsid w:val="00650BFC"/>
    <w:rsid w:val="00654DDD"/>
    <w:rsid w:val="00656879"/>
    <w:rsid w:val="00660CB2"/>
    <w:rsid w:val="00660D01"/>
    <w:rsid w:val="00663EF5"/>
    <w:rsid w:val="00667533"/>
    <w:rsid w:val="0066771D"/>
    <w:rsid w:val="0067152B"/>
    <w:rsid w:val="00672682"/>
    <w:rsid w:val="00672C1A"/>
    <w:rsid w:val="0067320E"/>
    <w:rsid w:val="00673908"/>
    <w:rsid w:val="00673BEA"/>
    <w:rsid w:val="0068229E"/>
    <w:rsid w:val="006903E1"/>
    <w:rsid w:val="006948AD"/>
    <w:rsid w:val="006968A3"/>
    <w:rsid w:val="00697294"/>
    <w:rsid w:val="006A3DFB"/>
    <w:rsid w:val="006B5FB5"/>
    <w:rsid w:val="006B761C"/>
    <w:rsid w:val="006B7EC4"/>
    <w:rsid w:val="006C2AE7"/>
    <w:rsid w:val="006D32C0"/>
    <w:rsid w:val="006D624C"/>
    <w:rsid w:val="006E03AF"/>
    <w:rsid w:val="006E1656"/>
    <w:rsid w:val="006E1824"/>
    <w:rsid w:val="006E1B90"/>
    <w:rsid w:val="006F0869"/>
    <w:rsid w:val="00701C1E"/>
    <w:rsid w:val="00702EF1"/>
    <w:rsid w:val="00702F0C"/>
    <w:rsid w:val="007049DD"/>
    <w:rsid w:val="00707A37"/>
    <w:rsid w:val="00707CBF"/>
    <w:rsid w:val="00714ADB"/>
    <w:rsid w:val="00714F48"/>
    <w:rsid w:val="00720A4C"/>
    <w:rsid w:val="00725647"/>
    <w:rsid w:val="00726EB4"/>
    <w:rsid w:val="00730CEA"/>
    <w:rsid w:val="007334EC"/>
    <w:rsid w:val="00735ED6"/>
    <w:rsid w:val="00740751"/>
    <w:rsid w:val="00740BCC"/>
    <w:rsid w:val="00745AE8"/>
    <w:rsid w:val="007473B6"/>
    <w:rsid w:val="007504AC"/>
    <w:rsid w:val="00754500"/>
    <w:rsid w:val="00754F41"/>
    <w:rsid w:val="007670DF"/>
    <w:rsid w:val="00772646"/>
    <w:rsid w:val="007738EE"/>
    <w:rsid w:val="007751DC"/>
    <w:rsid w:val="0078403E"/>
    <w:rsid w:val="00787D43"/>
    <w:rsid w:val="00790635"/>
    <w:rsid w:val="00790A17"/>
    <w:rsid w:val="00793EB5"/>
    <w:rsid w:val="00795F0A"/>
    <w:rsid w:val="00796117"/>
    <w:rsid w:val="007A532E"/>
    <w:rsid w:val="007B114C"/>
    <w:rsid w:val="007B1B30"/>
    <w:rsid w:val="007B44D2"/>
    <w:rsid w:val="007B793F"/>
    <w:rsid w:val="007C1258"/>
    <w:rsid w:val="007C2FD3"/>
    <w:rsid w:val="007D0FF0"/>
    <w:rsid w:val="007D2F06"/>
    <w:rsid w:val="007D3C09"/>
    <w:rsid w:val="007D4B63"/>
    <w:rsid w:val="007D540D"/>
    <w:rsid w:val="007E33A8"/>
    <w:rsid w:val="007E3E9A"/>
    <w:rsid w:val="007E64A1"/>
    <w:rsid w:val="007E71E9"/>
    <w:rsid w:val="007F5933"/>
    <w:rsid w:val="00803B4B"/>
    <w:rsid w:val="008046C0"/>
    <w:rsid w:val="00813FC1"/>
    <w:rsid w:val="00814D38"/>
    <w:rsid w:val="00816C0E"/>
    <w:rsid w:val="0082192F"/>
    <w:rsid w:val="008248B9"/>
    <w:rsid w:val="00824983"/>
    <w:rsid w:val="008256B9"/>
    <w:rsid w:val="00827F32"/>
    <w:rsid w:val="00830D69"/>
    <w:rsid w:val="008310D6"/>
    <w:rsid w:val="008357B2"/>
    <w:rsid w:val="008443B6"/>
    <w:rsid w:val="00844ED4"/>
    <w:rsid w:val="00850CBB"/>
    <w:rsid w:val="00851004"/>
    <w:rsid w:val="0086257F"/>
    <w:rsid w:val="008723F2"/>
    <w:rsid w:val="00874997"/>
    <w:rsid w:val="00874FA9"/>
    <w:rsid w:val="00875C5E"/>
    <w:rsid w:val="008A08C1"/>
    <w:rsid w:val="008A190C"/>
    <w:rsid w:val="008A202B"/>
    <w:rsid w:val="008A2685"/>
    <w:rsid w:val="008A54DA"/>
    <w:rsid w:val="008A60C9"/>
    <w:rsid w:val="008A6D6D"/>
    <w:rsid w:val="008A792C"/>
    <w:rsid w:val="008B6840"/>
    <w:rsid w:val="008C353A"/>
    <w:rsid w:val="008D1DF6"/>
    <w:rsid w:val="008D339E"/>
    <w:rsid w:val="008D48CD"/>
    <w:rsid w:val="008D7F2D"/>
    <w:rsid w:val="008E2810"/>
    <w:rsid w:val="008E5E29"/>
    <w:rsid w:val="008E77FF"/>
    <w:rsid w:val="008E7941"/>
    <w:rsid w:val="008F0D8A"/>
    <w:rsid w:val="008F1AF3"/>
    <w:rsid w:val="0090766E"/>
    <w:rsid w:val="0091339C"/>
    <w:rsid w:val="00914D1A"/>
    <w:rsid w:val="009214E9"/>
    <w:rsid w:val="00923F6D"/>
    <w:rsid w:val="00927E83"/>
    <w:rsid w:val="00935B46"/>
    <w:rsid w:val="0093603A"/>
    <w:rsid w:val="00937545"/>
    <w:rsid w:val="00944CFE"/>
    <w:rsid w:val="00945540"/>
    <w:rsid w:val="00947F71"/>
    <w:rsid w:val="00952A23"/>
    <w:rsid w:val="00954DD9"/>
    <w:rsid w:val="0095518C"/>
    <w:rsid w:val="00956030"/>
    <w:rsid w:val="00957794"/>
    <w:rsid w:val="00960C03"/>
    <w:rsid w:val="00960FCE"/>
    <w:rsid w:val="009629C6"/>
    <w:rsid w:val="009649F4"/>
    <w:rsid w:val="00971D6D"/>
    <w:rsid w:val="00971E29"/>
    <w:rsid w:val="009729B3"/>
    <w:rsid w:val="00973B9E"/>
    <w:rsid w:val="00983F68"/>
    <w:rsid w:val="00986AEA"/>
    <w:rsid w:val="00987F44"/>
    <w:rsid w:val="00990517"/>
    <w:rsid w:val="00993158"/>
    <w:rsid w:val="009944B8"/>
    <w:rsid w:val="009951C9"/>
    <w:rsid w:val="00997E1F"/>
    <w:rsid w:val="009A1DFC"/>
    <w:rsid w:val="009A3D46"/>
    <w:rsid w:val="009A63FA"/>
    <w:rsid w:val="009A67B1"/>
    <w:rsid w:val="009B3FC6"/>
    <w:rsid w:val="009B4CCC"/>
    <w:rsid w:val="009C0DE3"/>
    <w:rsid w:val="009C1253"/>
    <w:rsid w:val="009C171F"/>
    <w:rsid w:val="009C44C7"/>
    <w:rsid w:val="009D06B0"/>
    <w:rsid w:val="009D6DAF"/>
    <w:rsid w:val="009E2524"/>
    <w:rsid w:val="009E6B2A"/>
    <w:rsid w:val="009F2EF3"/>
    <w:rsid w:val="009F40D4"/>
    <w:rsid w:val="009F4B6A"/>
    <w:rsid w:val="009F62C5"/>
    <w:rsid w:val="00A046E1"/>
    <w:rsid w:val="00A067F4"/>
    <w:rsid w:val="00A07451"/>
    <w:rsid w:val="00A07A66"/>
    <w:rsid w:val="00A12800"/>
    <w:rsid w:val="00A129A9"/>
    <w:rsid w:val="00A20CCD"/>
    <w:rsid w:val="00A21B20"/>
    <w:rsid w:val="00A23E3A"/>
    <w:rsid w:val="00A27B5C"/>
    <w:rsid w:val="00A3410E"/>
    <w:rsid w:val="00A34498"/>
    <w:rsid w:val="00A36BBB"/>
    <w:rsid w:val="00A36DE9"/>
    <w:rsid w:val="00A40A2E"/>
    <w:rsid w:val="00A42E20"/>
    <w:rsid w:val="00A433AF"/>
    <w:rsid w:val="00A43F97"/>
    <w:rsid w:val="00A450CF"/>
    <w:rsid w:val="00A471AA"/>
    <w:rsid w:val="00A5293E"/>
    <w:rsid w:val="00A54D9E"/>
    <w:rsid w:val="00A56112"/>
    <w:rsid w:val="00A62954"/>
    <w:rsid w:val="00A63461"/>
    <w:rsid w:val="00A65B69"/>
    <w:rsid w:val="00A72C1F"/>
    <w:rsid w:val="00A74862"/>
    <w:rsid w:val="00A858C7"/>
    <w:rsid w:val="00A87728"/>
    <w:rsid w:val="00A87750"/>
    <w:rsid w:val="00A9274A"/>
    <w:rsid w:val="00A93050"/>
    <w:rsid w:val="00A97A77"/>
    <w:rsid w:val="00AA022C"/>
    <w:rsid w:val="00AA4013"/>
    <w:rsid w:val="00AA61E2"/>
    <w:rsid w:val="00AA72DD"/>
    <w:rsid w:val="00AB251C"/>
    <w:rsid w:val="00AB4972"/>
    <w:rsid w:val="00AB4E78"/>
    <w:rsid w:val="00AB5F77"/>
    <w:rsid w:val="00AE1686"/>
    <w:rsid w:val="00AE55BA"/>
    <w:rsid w:val="00AF3BC0"/>
    <w:rsid w:val="00AF5C82"/>
    <w:rsid w:val="00B06C11"/>
    <w:rsid w:val="00B1778F"/>
    <w:rsid w:val="00B20BD8"/>
    <w:rsid w:val="00B252A8"/>
    <w:rsid w:val="00B26338"/>
    <w:rsid w:val="00B26EBB"/>
    <w:rsid w:val="00B305E6"/>
    <w:rsid w:val="00B31D58"/>
    <w:rsid w:val="00B33DFA"/>
    <w:rsid w:val="00B3522F"/>
    <w:rsid w:val="00B35D55"/>
    <w:rsid w:val="00B42191"/>
    <w:rsid w:val="00B43BEE"/>
    <w:rsid w:val="00B44304"/>
    <w:rsid w:val="00B469D7"/>
    <w:rsid w:val="00B50CCC"/>
    <w:rsid w:val="00B51A46"/>
    <w:rsid w:val="00B52EBB"/>
    <w:rsid w:val="00B63552"/>
    <w:rsid w:val="00B640C2"/>
    <w:rsid w:val="00B678D2"/>
    <w:rsid w:val="00B70F81"/>
    <w:rsid w:val="00B727C9"/>
    <w:rsid w:val="00B761A4"/>
    <w:rsid w:val="00B77098"/>
    <w:rsid w:val="00B81CF6"/>
    <w:rsid w:val="00B854D6"/>
    <w:rsid w:val="00B86214"/>
    <w:rsid w:val="00B86B30"/>
    <w:rsid w:val="00B91F76"/>
    <w:rsid w:val="00B952F3"/>
    <w:rsid w:val="00B95631"/>
    <w:rsid w:val="00B97E34"/>
    <w:rsid w:val="00BA1106"/>
    <w:rsid w:val="00BA3654"/>
    <w:rsid w:val="00BA5552"/>
    <w:rsid w:val="00BA71D7"/>
    <w:rsid w:val="00BA7E65"/>
    <w:rsid w:val="00BB08C4"/>
    <w:rsid w:val="00BB2972"/>
    <w:rsid w:val="00BC7899"/>
    <w:rsid w:val="00BD153B"/>
    <w:rsid w:val="00BD3908"/>
    <w:rsid w:val="00BD4E97"/>
    <w:rsid w:val="00BE0ACE"/>
    <w:rsid w:val="00BE753B"/>
    <w:rsid w:val="00BF6668"/>
    <w:rsid w:val="00C03669"/>
    <w:rsid w:val="00C04939"/>
    <w:rsid w:val="00C070F4"/>
    <w:rsid w:val="00C17767"/>
    <w:rsid w:val="00C226F0"/>
    <w:rsid w:val="00C26C64"/>
    <w:rsid w:val="00C27AA1"/>
    <w:rsid w:val="00C35DA2"/>
    <w:rsid w:val="00C37308"/>
    <w:rsid w:val="00C43D9D"/>
    <w:rsid w:val="00C46F7E"/>
    <w:rsid w:val="00C50C21"/>
    <w:rsid w:val="00C5600B"/>
    <w:rsid w:val="00C568B8"/>
    <w:rsid w:val="00C70FAB"/>
    <w:rsid w:val="00C7296E"/>
    <w:rsid w:val="00C72C25"/>
    <w:rsid w:val="00C75747"/>
    <w:rsid w:val="00C767F6"/>
    <w:rsid w:val="00C81480"/>
    <w:rsid w:val="00C8215D"/>
    <w:rsid w:val="00C831C0"/>
    <w:rsid w:val="00C86FA1"/>
    <w:rsid w:val="00C93455"/>
    <w:rsid w:val="00C9491B"/>
    <w:rsid w:val="00C96976"/>
    <w:rsid w:val="00C97659"/>
    <w:rsid w:val="00CA0780"/>
    <w:rsid w:val="00CA3DFC"/>
    <w:rsid w:val="00CA51D3"/>
    <w:rsid w:val="00CA7668"/>
    <w:rsid w:val="00CA7FC4"/>
    <w:rsid w:val="00CC21AA"/>
    <w:rsid w:val="00CC3E15"/>
    <w:rsid w:val="00CC6F3E"/>
    <w:rsid w:val="00CD255B"/>
    <w:rsid w:val="00CD32C0"/>
    <w:rsid w:val="00CE2F15"/>
    <w:rsid w:val="00CE531F"/>
    <w:rsid w:val="00CE5C97"/>
    <w:rsid w:val="00CE7EA6"/>
    <w:rsid w:val="00CF383B"/>
    <w:rsid w:val="00CF45FF"/>
    <w:rsid w:val="00CF7873"/>
    <w:rsid w:val="00D00118"/>
    <w:rsid w:val="00D03EC4"/>
    <w:rsid w:val="00D043F0"/>
    <w:rsid w:val="00D04892"/>
    <w:rsid w:val="00D1064B"/>
    <w:rsid w:val="00D1175E"/>
    <w:rsid w:val="00D12921"/>
    <w:rsid w:val="00D16029"/>
    <w:rsid w:val="00D17E93"/>
    <w:rsid w:val="00D20EB9"/>
    <w:rsid w:val="00D23E70"/>
    <w:rsid w:val="00D26C1C"/>
    <w:rsid w:val="00D30EC8"/>
    <w:rsid w:val="00D31D88"/>
    <w:rsid w:val="00D324CC"/>
    <w:rsid w:val="00D32872"/>
    <w:rsid w:val="00D339DC"/>
    <w:rsid w:val="00D36DFF"/>
    <w:rsid w:val="00D372E0"/>
    <w:rsid w:val="00D41F23"/>
    <w:rsid w:val="00D45CD5"/>
    <w:rsid w:val="00D51DAC"/>
    <w:rsid w:val="00D62DD2"/>
    <w:rsid w:val="00D64B85"/>
    <w:rsid w:val="00D66CC5"/>
    <w:rsid w:val="00D721AF"/>
    <w:rsid w:val="00D87C95"/>
    <w:rsid w:val="00D92BD1"/>
    <w:rsid w:val="00D95008"/>
    <w:rsid w:val="00DA13AD"/>
    <w:rsid w:val="00DA6CD3"/>
    <w:rsid w:val="00DB05A7"/>
    <w:rsid w:val="00DB30FF"/>
    <w:rsid w:val="00DB3819"/>
    <w:rsid w:val="00DB54C9"/>
    <w:rsid w:val="00DC497E"/>
    <w:rsid w:val="00DC542B"/>
    <w:rsid w:val="00DD5866"/>
    <w:rsid w:val="00DD78EC"/>
    <w:rsid w:val="00DE38CF"/>
    <w:rsid w:val="00DF024F"/>
    <w:rsid w:val="00DF0C47"/>
    <w:rsid w:val="00DF1FCF"/>
    <w:rsid w:val="00DF2FDD"/>
    <w:rsid w:val="00DF79F6"/>
    <w:rsid w:val="00DF7E55"/>
    <w:rsid w:val="00E000C8"/>
    <w:rsid w:val="00E04314"/>
    <w:rsid w:val="00E04948"/>
    <w:rsid w:val="00E055C7"/>
    <w:rsid w:val="00E261F8"/>
    <w:rsid w:val="00E26B46"/>
    <w:rsid w:val="00E30A2E"/>
    <w:rsid w:val="00E400ED"/>
    <w:rsid w:val="00E40B5F"/>
    <w:rsid w:val="00E44455"/>
    <w:rsid w:val="00E45D38"/>
    <w:rsid w:val="00E54D55"/>
    <w:rsid w:val="00E61165"/>
    <w:rsid w:val="00E632AF"/>
    <w:rsid w:val="00E66CFF"/>
    <w:rsid w:val="00E71D5D"/>
    <w:rsid w:val="00E733B3"/>
    <w:rsid w:val="00E75206"/>
    <w:rsid w:val="00E765C1"/>
    <w:rsid w:val="00E8075C"/>
    <w:rsid w:val="00E819E5"/>
    <w:rsid w:val="00E83016"/>
    <w:rsid w:val="00E84724"/>
    <w:rsid w:val="00E85662"/>
    <w:rsid w:val="00E87F88"/>
    <w:rsid w:val="00EA003B"/>
    <w:rsid w:val="00EA1684"/>
    <w:rsid w:val="00EA312B"/>
    <w:rsid w:val="00EA4DE6"/>
    <w:rsid w:val="00EA685B"/>
    <w:rsid w:val="00EB0A4B"/>
    <w:rsid w:val="00EB1950"/>
    <w:rsid w:val="00EB31F7"/>
    <w:rsid w:val="00EB4BD7"/>
    <w:rsid w:val="00EB5793"/>
    <w:rsid w:val="00EB7600"/>
    <w:rsid w:val="00EC45B0"/>
    <w:rsid w:val="00ED03A2"/>
    <w:rsid w:val="00ED6483"/>
    <w:rsid w:val="00EE16CB"/>
    <w:rsid w:val="00EE2A2A"/>
    <w:rsid w:val="00EE60DD"/>
    <w:rsid w:val="00EF5079"/>
    <w:rsid w:val="00F00806"/>
    <w:rsid w:val="00F051E7"/>
    <w:rsid w:val="00F13B03"/>
    <w:rsid w:val="00F166A2"/>
    <w:rsid w:val="00F23F5B"/>
    <w:rsid w:val="00F24362"/>
    <w:rsid w:val="00F30D1F"/>
    <w:rsid w:val="00F33101"/>
    <w:rsid w:val="00F3400E"/>
    <w:rsid w:val="00F345E3"/>
    <w:rsid w:val="00F36D76"/>
    <w:rsid w:val="00F44E69"/>
    <w:rsid w:val="00F46082"/>
    <w:rsid w:val="00F510BC"/>
    <w:rsid w:val="00F51B8A"/>
    <w:rsid w:val="00F51BBE"/>
    <w:rsid w:val="00F52547"/>
    <w:rsid w:val="00F5360C"/>
    <w:rsid w:val="00F60950"/>
    <w:rsid w:val="00F66718"/>
    <w:rsid w:val="00F726F6"/>
    <w:rsid w:val="00F72FED"/>
    <w:rsid w:val="00F77D8B"/>
    <w:rsid w:val="00F840E6"/>
    <w:rsid w:val="00F9385C"/>
    <w:rsid w:val="00F9483D"/>
    <w:rsid w:val="00F96102"/>
    <w:rsid w:val="00F975AD"/>
    <w:rsid w:val="00FA16BE"/>
    <w:rsid w:val="00FA209D"/>
    <w:rsid w:val="00FA4B9B"/>
    <w:rsid w:val="00FA627C"/>
    <w:rsid w:val="00FB0B81"/>
    <w:rsid w:val="00FB6701"/>
    <w:rsid w:val="00FC7675"/>
    <w:rsid w:val="00FE0FEA"/>
    <w:rsid w:val="00FE4D19"/>
    <w:rsid w:val="00FE5627"/>
    <w:rsid w:val="00FE7669"/>
    <w:rsid w:val="00FF0646"/>
    <w:rsid w:val="00FF13C3"/>
    <w:rsid w:val="00FF5B9C"/>
    <w:rsid w:val="16F5646C"/>
    <w:rsid w:val="1792452A"/>
    <w:rsid w:val="23B84EDB"/>
    <w:rsid w:val="251C40CC"/>
    <w:rsid w:val="2C471AF4"/>
    <w:rsid w:val="76A40E1E"/>
    <w:rsid w:val="7B797882"/>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2"/>
    <w:basedOn w:val="1"/>
    <w:next w:val="1"/>
    <w:link w:val="9"/>
    <w:qFormat/>
    <w:uiPriority w:val="0"/>
    <w:pPr>
      <w:keepNext/>
      <w:keepLines/>
      <w:spacing w:before="260" w:after="260" w:line="415" w:lineRule="auto"/>
      <w:outlineLvl w:val="1"/>
    </w:pPr>
    <w:rPr>
      <w:rFonts w:ascii="Cambria" w:hAnsi="Cambria"/>
      <w:b/>
      <w:bCs/>
      <w:sz w:val="32"/>
      <w:szCs w:val="32"/>
    </w:rPr>
  </w:style>
  <w:style w:type="character" w:default="1" w:styleId="5">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3">
    <w:name w:val="footer"/>
    <w:basedOn w:val="1"/>
    <w:link w:val="8"/>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character" w:customStyle="1" w:styleId="9">
    <w:name w:val="标题 2 Char"/>
    <w:basedOn w:val="5"/>
    <w:link w:val="2"/>
    <w:qFormat/>
    <w:uiPriority w:val="0"/>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1163</Words>
  <Characters>6635</Characters>
  <Lines>55</Lines>
  <Paragraphs>15</Paragraphs>
  <ScaleCrop>false</ScaleCrop>
  <LinksUpToDate>false</LinksUpToDate>
  <CharactersWithSpaces>7783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2016-12-20T08:44:00Z</dcterms:created>
  <dc:creator>ee</dc:creator>
  <cp:lastModifiedBy>rdlenovo</cp:lastModifiedBy>
  <dcterms:modified xsi:type="dcterms:W3CDTF">2017-02-22T09:03:14Z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