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2"/>
        <w:rPr>
          <w:rFonts w:hint="eastAsia"/>
          <w:lang w:val="en-US" w:eastAsia="zh-CN"/>
        </w:rPr>
      </w:pPr>
    </w:p>
    <w:p>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2"/>
        <w:rPr>
          <w:rFonts w:hint="eastAsia"/>
          <w:lang w:val="en-US" w:eastAsia="zh-CN"/>
        </w:rPr>
      </w:pPr>
    </w:p>
    <w:p>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2"/>
        <w:rPr>
          <w:rFonts w:hint="eastAsia"/>
          <w:lang w:val="en-US"/>
        </w:rPr>
      </w:pPr>
      <w:r>
        <w:rPr>
          <w:rFonts w:hint="eastAsia"/>
          <w:lang w:val="en-US" w:eastAsia="zh-CN"/>
        </w:rPr>
        <w:t>沈阳历史文化名城保护条例</w:t>
      </w:r>
    </w:p>
    <w:p>
      <w:pPr>
        <w:pStyle w:val="7"/>
        <w:rPr>
          <w:rFonts w:hint="eastAsia"/>
          <w:lang w:val="en-US" w:eastAsia="zh-CN"/>
        </w:rPr>
      </w:pPr>
    </w:p>
    <w:p>
      <w:pPr>
        <w:pStyle w:val="7"/>
        <w:rPr>
          <w:rFonts w:hint="eastAsia"/>
          <w:lang w:val="en-US" w:eastAsia="zh-CN"/>
        </w:rPr>
      </w:pPr>
      <w:r>
        <w:rPr>
          <w:rFonts w:hint="eastAsia"/>
          <w:lang w:val="en-US" w:eastAsia="zh-CN"/>
        </w:rPr>
        <w:t>（2009年6月30日沈阳市第十四届人民代表大会常务委员会第十一次会议通过  2009年7月31日辽宁省第十一届人民代表大会常务委员会第十次会议批准）</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楷体" w:hAnsi="楷体" w:eastAsia="楷体" w:cs="楷体"/>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outlineLvl w:val="9"/>
        <w:rPr>
          <w:rFonts w:hint="eastAsia" w:ascii="楷体" w:hAnsi="楷体" w:eastAsia="楷体" w:cs="楷体"/>
          <w:kern w:val="2"/>
          <w:sz w:val="32"/>
          <w:szCs w:val="32"/>
          <w:lang w:val="en-US" w:eastAsia="zh-CN" w:bidi="ar"/>
        </w:rPr>
      </w:pPr>
      <w:r>
        <w:rPr>
          <w:rFonts w:hint="eastAsia" w:ascii="楷体" w:hAnsi="楷体" w:eastAsia="楷体" w:cs="楷体"/>
          <w:kern w:val="2"/>
          <w:sz w:val="32"/>
          <w:szCs w:val="32"/>
          <w:lang w:val="en-US" w:eastAsia="zh-CN" w:bidi="ar"/>
        </w:rPr>
        <w:t>目    录</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outlineLvl w:val="9"/>
        <w:rPr>
          <w:rFonts w:hint="eastAsia" w:ascii="楷体" w:hAnsi="楷体" w:eastAsia="楷体" w:cs="楷体"/>
          <w:kern w:val="2"/>
          <w:sz w:val="32"/>
          <w:szCs w:val="32"/>
          <w:lang w:val="en-US" w:eastAsia="zh-CN" w:bidi="ar"/>
        </w:rPr>
      </w:pPr>
    </w:p>
    <w:p>
      <w:pPr>
        <w:pStyle w:val="10"/>
      </w:pPr>
      <w:r>
        <w:rPr>
          <w:rFonts w:hint="eastAsia"/>
          <w:lang w:val="en-US" w:eastAsia="zh-CN"/>
        </w:rPr>
        <w:fldChar w:fldCharType="begin"/>
      </w:r>
      <w:r>
        <w:rPr>
          <w:rFonts w:hint="eastAsia"/>
          <w:lang w:val="en-US" w:eastAsia="zh-CN"/>
        </w:rPr>
        <w:instrText xml:space="preserve">TOC \o "1-1" \n  \h \u </w:instrText>
      </w:r>
      <w:r>
        <w:rPr>
          <w:rFonts w:hint="eastAsia"/>
          <w:lang w:val="en-US" w:eastAsia="zh-CN"/>
        </w:rPr>
        <w:fldChar w:fldCharType="separate"/>
      </w:r>
      <w:r>
        <w:rPr>
          <w:rFonts w:hint="eastAsia"/>
          <w:lang w:val="en-US" w:eastAsia="zh-CN"/>
        </w:rPr>
        <w:fldChar w:fldCharType="begin"/>
      </w:r>
      <w:r>
        <w:rPr>
          <w:rFonts w:hint="eastAsia"/>
          <w:lang w:val="en-US" w:eastAsia="zh-CN"/>
        </w:rPr>
        <w:instrText xml:space="preserve"> HYPERLINK \l _Toc25424 </w:instrText>
      </w:r>
      <w:r>
        <w:rPr>
          <w:rFonts w:hint="eastAsia"/>
          <w:lang w:val="en-US" w:eastAsia="zh-CN"/>
        </w:rPr>
        <w:fldChar w:fldCharType="separate"/>
      </w:r>
      <w:r>
        <w:rPr>
          <w:rFonts w:hint="eastAsia"/>
          <w:lang w:val="en-US" w:eastAsia="zh-CN"/>
        </w:rPr>
        <w:t>第一章  总    则</w:t>
      </w:r>
      <w:r>
        <w:rPr>
          <w:rFonts w:hint="eastAsia"/>
          <w:lang w:val="en-US" w:eastAsia="zh-CN"/>
        </w:rPr>
        <w:fldChar w:fldCharType="end"/>
      </w:r>
    </w:p>
    <w:p>
      <w:pPr>
        <w:pStyle w:val="10"/>
      </w:pPr>
      <w:r>
        <w:rPr>
          <w:rFonts w:hint="eastAsia"/>
          <w:lang w:val="en-US" w:eastAsia="zh-CN"/>
        </w:rPr>
        <w:fldChar w:fldCharType="begin"/>
      </w:r>
      <w:r>
        <w:rPr>
          <w:rFonts w:hint="eastAsia"/>
          <w:lang w:val="en-US" w:eastAsia="zh-CN"/>
        </w:rPr>
        <w:instrText xml:space="preserve"> HYPERLINK \l _Toc11557 </w:instrText>
      </w:r>
      <w:r>
        <w:rPr>
          <w:rFonts w:hint="eastAsia"/>
          <w:lang w:val="en-US" w:eastAsia="zh-CN"/>
        </w:rPr>
        <w:fldChar w:fldCharType="separate"/>
      </w:r>
      <w:r>
        <w:rPr>
          <w:rFonts w:hint="eastAsia"/>
          <w:lang w:val="en-US" w:eastAsia="zh-CN"/>
        </w:rPr>
        <w:t>第二章  保护规划</w:t>
      </w:r>
      <w:r>
        <w:rPr>
          <w:rFonts w:hint="eastAsia"/>
          <w:lang w:val="en-US" w:eastAsia="zh-CN"/>
        </w:rPr>
        <w:fldChar w:fldCharType="end"/>
      </w:r>
    </w:p>
    <w:p>
      <w:pPr>
        <w:pStyle w:val="10"/>
      </w:pPr>
      <w:r>
        <w:rPr>
          <w:rFonts w:hint="eastAsia"/>
          <w:lang w:val="en-US" w:eastAsia="zh-CN"/>
        </w:rPr>
        <w:fldChar w:fldCharType="begin"/>
      </w:r>
      <w:r>
        <w:rPr>
          <w:rFonts w:hint="eastAsia"/>
          <w:lang w:val="en-US" w:eastAsia="zh-CN"/>
        </w:rPr>
        <w:instrText xml:space="preserve"> HYPERLINK \l _Toc7719 </w:instrText>
      </w:r>
      <w:r>
        <w:rPr>
          <w:rFonts w:hint="eastAsia"/>
          <w:lang w:val="en-US" w:eastAsia="zh-CN"/>
        </w:rPr>
        <w:fldChar w:fldCharType="separate"/>
      </w:r>
      <w:r>
        <w:rPr>
          <w:rFonts w:hint="eastAsia"/>
          <w:lang w:val="en-US" w:eastAsia="zh-CN"/>
        </w:rPr>
        <w:t>第三章  保护内容</w:t>
      </w:r>
      <w:r>
        <w:rPr>
          <w:rFonts w:hint="eastAsia"/>
          <w:lang w:val="en-US" w:eastAsia="zh-CN"/>
        </w:rPr>
        <w:fldChar w:fldCharType="end"/>
      </w:r>
    </w:p>
    <w:p>
      <w:pPr>
        <w:pStyle w:val="10"/>
      </w:pPr>
      <w:r>
        <w:rPr>
          <w:rFonts w:hint="eastAsia"/>
          <w:lang w:val="en-US" w:eastAsia="zh-CN"/>
        </w:rPr>
        <w:fldChar w:fldCharType="begin"/>
      </w:r>
      <w:r>
        <w:rPr>
          <w:rFonts w:hint="eastAsia"/>
          <w:lang w:val="en-US" w:eastAsia="zh-CN"/>
        </w:rPr>
        <w:instrText xml:space="preserve"> HYPERLINK \l _Toc23180 </w:instrText>
      </w:r>
      <w:r>
        <w:rPr>
          <w:rFonts w:hint="eastAsia"/>
          <w:lang w:val="en-US" w:eastAsia="zh-CN"/>
        </w:rPr>
        <w:fldChar w:fldCharType="separate"/>
      </w:r>
      <w:r>
        <w:rPr>
          <w:rFonts w:hint="eastAsia"/>
          <w:lang w:val="en-US" w:eastAsia="zh-CN"/>
        </w:rPr>
        <w:t>第四章  保护措施</w:t>
      </w:r>
      <w:r>
        <w:rPr>
          <w:rFonts w:hint="eastAsia"/>
          <w:lang w:val="en-US" w:eastAsia="zh-CN"/>
        </w:rPr>
        <w:fldChar w:fldCharType="end"/>
      </w:r>
    </w:p>
    <w:p>
      <w:pPr>
        <w:pStyle w:val="10"/>
      </w:pPr>
      <w:r>
        <w:rPr>
          <w:rFonts w:hint="eastAsia"/>
          <w:lang w:val="en-US" w:eastAsia="zh-CN"/>
        </w:rPr>
        <w:fldChar w:fldCharType="begin"/>
      </w:r>
      <w:r>
        <w:rPr>
          <w:rFonts w:hint="eastAsia"/>
          <w:lang w:val="en-US" w:eastAsia="zh-CN"/>
        </w:rPr>
        <w:instrText xml:space="preserve"> HYPERLINK \l _Toc18000 </w:instrText>
      </w:r>
      <w:r>
        <w:rPr>
          <w:rFonts w:hint="eastAsia"/>
          <w:lang w:val="en-US" w:eastAsia="zh-CN"/>
        </w:rPr>
        <w:fldChar w:fldCharType="separate"/>
      </w:r>
      <w:r>
        <w:rPr>
          <w:rFonts w:hint="eastAsia"/>
          <w:lang w:val="en-US" w:eastAsia="zh-CN"/>
        </w:rPr>
        <w:t>第五章  法律责任</w:t>
      </w:r>
      <w:r>
        <w:rPr>
          <w:rFonts w:hint="eastAsia"/>
          <w:lang w:val="en-US" w:eastAsia="zh-CN"/>
        </w:rPr>
        <w:fldChar w:fldCharType="end"/>
      </w:r>
    </w:p>
    <w:p>
      <w:pPr>
        <w:pStyle w:val="10"/>
      </w:pPr>
      <w:r>
        <w:rPr>
          <w:rFonts w:hint="eastAsia"/>
          <w:lang w:val="en-US" w:eastAsia="zh-CN"/>
        </w:rPr>
        <w:fldChar w:fldCharType="begin"/>
      </w:r>
      <w:r>
        <w:rPr>
          <w:rFonts w:hint="eastAsia"/>
          <w:lang w:val="en-US" w:eastAsia="zh-CN"/>
        </w:rPr>
        <w:instrText xml:space="preserve"> HYPERLINK \l _Toc29341 </w:instrText>
      </w:r>
      <w:r>
        <w:rPr>
          <w:rFonts w:hint="eastAsia"/>
          <w:lang w:val="en-US" w:eastAsia="zh-CN"/>
        </w:rPr>
        <w:fldChar w:fldCharType="separate"/>
      </w:r>
      <w:r>
        <w:rPr>
          <w:rFonts w:hint="eastAsia"/>
          <w:lang w:val="en-US" w:eastAsia="zh-CN"/>
        </w:rPr>
        <w:t>第六章  附    则</w:t>
      </w:r>
      <w:r>
        <w:rPr>
          <w:rFonts w:hint="eastAsia"/>
          <w:lang w:val="en-US" w:eastAsia="zh-CN"/>
        </w:rPr>
        <w:fldChar w:fldCharType="end"/>
      </w:r>
    </w:p>
    <w:p>
      <w:pPr>
        <w:pStyle w:val="10"/>
        <w:rPr>
          <w:rFonts w:hint="eastAsia" w:ascii="楷体" w:hAnsi="楷体" w:eastAsia="楷体" w:cs="楷体"/>
          <w:kern w:val="2"/>
          <w:szCs w:val="32"/>
          <w:lang w:val="en-US" w:eastAsia="zh-CN" w:bidi="ar"/>
        </w:rPr>
      </w:pPr>
      <w:r>
        <w:rPr>
          <w:rFonts w:hint="eastAsia"/>
          <w:lang w:val="en-US" w:eastAsia="zh-CN"/>
        </w:rPr>
        <w:fldChar w:fldCharType="end"/>
      </w:r>
    </w:p>
    <w:p>
      <w:pPr>
        <w:pStyle w:val="2"/>
        <w:rPr>
          <w:rFonts w:hint="eastAsia"/>
          <w:lang w:val="en-US"/>
        </w:rPr>
      </w:pPr>
      <w:bookmarkStart w:id="0" w:name="_Toc25424"/>
      <w:r>
        <w:rPr>
          <w:rFonts w:hint="eastAsia"/>
          <w:lang w:val="en-US" w:eastAsia="zh-CN"/>
        </w:rPr>
        <w:t>第一章  总    则</w:t>
      </w:r>
      <w:bookmarkEnd w:id="0"/>
    </w:p>
    <w:p>
      <w:pPr>
        <w:keepNext w:val="0"/>
        <w:keepLines w:val="0"/>
        <w:widowControl w:val="0"/>
        <w:suppressLineNumbers w:val="0"/>
        <w:spacing w:before="0" w:beforeAutospacing="0" w:after="0" w:afterAutospacing="0" w:line="560" w:lineRule="exact"/>
        <w:ind w:left="0" w:right="0" w:firstLine="640" w:firstLineChars="200"/>
        <w:jc w:val="both"/>
        <w:rPr>
          <w:rStyle w:val="11"/>
          <w:rFonts w:hint="eastAsia"/>
          <w:lang w:val="en-US" w:eastAsia="zh-CN"/>
        </w:rPr>
      </w:pP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第一条</w:t>
      </w:r>
      <w:r>
        <w:rPr>
          <w:rFonts w:hint="eastAsia" w:ascii="仿宋" w:hAnsi="仿宋" w:eastAsia="仿宋" w:cs="仿宋"/>
          <w:kern w:val="2"/>
          <w:sz w:val="32"/>
          <w:szCs w:val="32"/>
          <w:lang w:val="en-US" w:eastAsia="zh-CN" w:bidi="ar"/>
        </w:rPr>
        <w:t xml:space="preserve">  根据《中华人民共和国文物保护法》《中华人民共和国城乡规划法》和国务院《历史文化名城名镇名村保护条例》等法律、法规的规定，结合本市实际，制定本条例。</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第二条</w:t>
      </w:r>
      <w:r>
        <w:rPr>
          <w:rFonts w:hint="eastAsia" w:ascii="仿宋" w:hAnsi="仿宋" w:eastAsia="仿宋" w:cs="仿宋"/>
          <w:kern w:val="2"/>
          <w:sz w:val="32"/>
          <w:szCs w:val="32"/>
          <w:lang w:val="en-US" w:eastAsia="zh-CN" w:bidi="ar"/>
        </w:rPr>
        <w:t xml:space="preserve">  本市行政区域内历史文化名城的保护，适用本条例。故宫、福陵和昭陵以及其他地上不可移动文物和地下文物的保护和管理，依照相关法律、法规的规定执行。</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 xml:space="preserve">第三条 </w:t>
      </w:r>
      <w:r>
        <w:rPr>
          <w:rFonts w:hint="eastAsia" w:ascii="仿宋" w:hAnsi="仿宋" w:eastAsia="仿宋" w:cs="仿宋"/>
          <w:kern w:val="2"/>
          <w:sz w:val="32"/>
          <w:szCs w:val="32"/>
          <w:lang w:val="en-US" w:eastAsia="zh-CN" w:bidi="ar"/>
        </w:rPr>
        <w:t xml:space="preserve"> 市人民政府负责本市行政区域内历史文化名城的保护和监督管理工作。区、县（市）人民政府负责本辖区内历史文化名城的保护和监督管理工作。市规划行政部门负责本市历史文化名城保护的规划管理工作。市文物行政部门负责文物保护工作，参与本市历史文化名城保护规划的管理工作。房产、建设、公安、财政、旅游、宗教事务、民政、市容、园林等行政部门，应当按照各自职责，负责历史文化名城保护的相关管理工作。</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第四条</w:t>
      </w:r>
      <w:r>
        <w:rPr>
          <w:rFonts w:hint="eastAsia" w:ascii="仿宋" w:hAnsi="仿宋" w:eastAsia="仿宋" w:cs="仿宋"/>
          <w:kern w:val="2"/>
          <w:sz w:val="32"/>
          <w:szCs w:val="32"/>
          <w:lang w:val="en-US" w:eastAsia="zh-CN" w:bidi="ar"/>
        </w:rPr>
        <w:t xml:space="preserve">  沈阳历史文化名城的保护工作，应当坚持统筹规划、科学管理、保护为主、抢救第一、合理利用的原则，维护历史文化遗产的真实性和完整性，正确处理保护与发展的关系。</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第五条</w:t>
      </w:r>
      <w:r>
        <w:rPr>
          <w:rFonts w:hint="eastAsia" w:ascii="仿宋" w:hAnsi="仿宋" w:eastAsia="仿宋" w:cs="仿宋"/>
          <w:kern w:val="2"/>
          <w:sz w:val="32"/>
          <w:szCs w:val="32"/>
          <w:lang w:val="en-US" w:eastAsia="zh-CN" w:bidi="ar"/>
        </w:rPr>
        <w:t xml:space="preserve">  市和区、县（市）人民政府应当把历史文化名城保护纳入本级经济和社会发展规划；将历史文化名城保护资金列入本级财政预算。</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第六条</w:t>
      </w:r>
      <w:r>
        <w:rPr>
          <w:rFonts w:hint="eastAsia" w:ascii="仿宋" w:hAnsi="仿宋" w:eastAsia="仿宋" w:cs="仿宋"/>
          <w:kern w:val="2"/>
          <w:sz w:val="32"/>
          <w:szCs w:val="32"/>
          <w:lang w:val="en-US" w:eastAsia="zh-CN" w:bidi="ar"/>
        </w:rPr>
        <w:t xml:space="preserve">  鼓励单位和个人以捐赠、资助、提供技术服务或者提出建议等方式参与历史文化名城的保护工作。</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 xml:space="preserve">第七条 </w:t>
      </w:r>
      <w:r>
        <w:rPr>
          <w:rFonts w:hint="eastAsia" w:ascii="仿宋" w:hAnsi="仿宋" w:eastAsia="仿宋" w:cs="仿宋"/>
          <w:kern w:val="2"/>
          <w:sz w:val="32"/>
          <w:szCs w:val="32"/>
          <w:lang w:val="en-US" w:eastAsia="zh-CN" w:bidi="ar"/>
        </w:rPr>
        <w:t xml:space="preserve"> 任何单位和个人都有保护历史文化名城的义务，并有权劝阻、检举和控告破坏历史文化名城的行为。</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kern w:val="2"/>
          <w:sz w:val="32"/>
          <w:szCs w:val="32"/>
          <w:lang w:val="en-US" w:eastAsia="zh-CN" w:bidi="ar"/>
        </w:rPr>
      </w:pPr>
      <w:r>
        <w:rPr>
          <w:rStyle w:val="11"/>
          <w:rFonts w:hint="eastAsia"/>
          <w:lang w:val="en-US" w:eastAsia="zh-CN"/>
        </w:rPr>
        <w:t>第八条</w:t>
      </w:r>
      <w:r>
        <w:rPr>
          <w:rFonts w:hint="eastAsia" w:ascii="仿宋" w:hAnsi="仿宋" w:eastAsia="仿宋" w:cs="仿宋"/>
          <w:kern w:val="2"/>
          <w:sz w:val="32"/>
          <w:szCs w:val="32"/>
          <w:lang w:val="en-US" w:eastAsia="zh-CN" w:bidi="ar"/>
        </w:rPr>
        <w:t xml:space="preserve">  市和区、县（市）人民政府及其有关行政部门应当对在历史文化名城保护工作中做出突出贡献的单位和个人，给予表彰和奖励。</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kern w:val="2"/>
          <w:sz w:val="32"/>
          <w:szCs w:val="32"/>
          <w:lang w:val="en-US" w:eastAsia="zh-CN" w:bidi="ar"/>
        </w:rPr>
      </w:pPr>
    </w:p>
    <w:p>
      <w:pPr>
        <w:pStyle w:val="2"/>
        <w:rPr>
          <w:rFonts w:hint="eastAsia"/>
          <w:lang w:val="en-US"/>
        </w:rPr>
      </w:pPr>
      <w:bookmarkStart w:id="1" w:name="_Toc11557"/>
      <w:r>
        <w:rPr>
          <w:rFonts w:hint="eastAsia"/>
          <w:lang w:val="en-US" w:eastAsia="zh-CN"/>
        </w:rPr>
        <w:t>第二章  保护规划</w:t>
      </w:r>
      <w:bookmarkEnd w:id="1"/>
    </w:p>
    <w:p>
      <w:pPr>
        <w:keepNext w:val="0"/>
        <w:keepLines w:val="0"/>
        <w:widowControl w:val="0"/>
        <w:suppressLineNumbers w:val="0"/>
        <w:spacing w:before="0" w:beforeAutospacing="0" w:after="0" w:afterAutospacing="0" w:line="560" w:lineRule="exact"/>
        <w:ind w:left="0" w:right="0" w:firstLine="640" w:firstLineChars="200"/>
        <w:jc w:val="both"/>
        <w:rPr>
          <w:rStyle w:val="11"/>
          <w:rFonts w:hint="eastAsia"/>
          <w:lang w:val="en-US" w:eastAsia="zh-CN"/>
        </w:rPr>
      </w:pP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 xml:space="preserve">第九条 </w:t>
      </w:r>
      <w:r>
        <w:rPr>
          <w:rFonts w:hint="eastAsia" w:ascii="仿宋" w:hAnsi="仿宋" w:eastAsia="仿宋" w:cs="仿宋"/>
          <w:kern w:val="2"/>
          <w:sz w:val="32"/>
          <w:szCs w:val="32"/>
          <w:lang w:val="en-US" w:eastAsia="zh-CN" w:bidi="ar"/>
        </w:rPr>
        <w:t xml:space="preserve"> 市人民政府应当依法组织编制历史文化名城保护规划，并纳入城市总体规划。区、县（市）人民政府应当依法组织编制历史文化名镇、名村保护规划。</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第十条</w:t>
      </w:r>
      <w:r>
        <w:rPr>
          <w:rFonts w:hint="eastAsia" w:ascii="仿宋" w:hAnsi="仿宋" w:eastAsia="仿宋" w:cs="仿宋"/>
          <w:kern w:val="2"/>
          <w:sz w:val="32"/>
          <w:szCs w:val="32"/>
          <w:lang w:val="en-US" w:eastAsia="zh-CN" w:bidi="ar"/>
        </w:rPr>
        <w:t xml:space="preserve">  市规划行政部门应当会同市文物行政部门，根据历史文化名城保护规划的要求，组织编制专项保护规划和控制性详细规划，报市人民政府批准后公布施行。专项保护规划和控制性详细规划的内容应当包括：保护范围，保护原则，需要保护的建筑物、构筑物和其他设施，保持传统风貌的建筑高度、体量、色彩等控制指标，土地使用功能，人口密度，市政基础设施的改善，不同建筑的分类保护和整治措施，保证保护规划实施的具体措施以及其他应当纳入专项保护规划和控制性详细规划的内容。</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第十一条</w:t>
      </w:r>
      <w:r>
        <w:rPr>
          <w:rFonts w:hint="eastAsia" w:ascii="仿宋" w:hAnsi="仿宋" w:eastAsia="仿宋" w:cs="仿宋"/>
          <w:kern w:val="2"/>
          <w:sz w:val="32"/>
          <w:szCs w:val="32"/>
          <w:lang w:val="en-US" w:eastAsia="zh-CN" w:bidi="ar"/>
        </w:rPr>
        <w:t xml:space="preserve">  历史文化名城保护规划在报经省人民政府审批前，应当经市人民代表大会常务委员会审议，常务委员会组成人员的审议意见交由市人民政府研究处理。历史文化名镇、名村保护规划在上报审批前，应当经所在地的区、县（市）人民代表大会常务委员会审议，常务委员会组成人员的审议意见交由区、县（市）人民政府研究处理。</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kern w:val="2"/>
          <w:sz w:val="32"/>
          <w:szCs w:val="32"/>
          <w:lang w:val="en-US" w:eastAsia="zh-CN" w:bidi="ar"/>
        </w:rPr>
      </w:pPr>
      <w:r>
        <w:rPr>
          <w:rStyle w:val="11"/>
          <w:rFonts w:hint="eastAsia"/>
          <w:lang w:val="en-US" w:eastAsia="zh-CN"/>
        </w:rPr>
        <w:t>第十二条</w:t>
      </w:r>
      <w:r>
        <w:rPr>
          <w:rFonts w:hint="eastAsia" w:ascii="仿宋" w:hAnsi="仿宋" w:eastAsia="仿宋" w:cs="仿宋"/>
          <w:kern w:val="2"/>
          <w:sz w:val="32"/>
          <w:szCs w:val="32"/>
          <w:lang w:val="en-US" w:eastAsia="zh-CN" w:bidi="ar"/>
        </w:rPr>
        <w:t xml:space="preserve">  历史文化名城保护规划经批准公布后，任何单位和个人不得擅自修改；确需修改的，应当按照本条例第十一条规定的程序执行。</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kern w:val="2"/>
          <w:sz w:val="32"/>
          <w:szCs w:val="32"/>
          <w:lang w:val="en-US" w:eastAsia="zh-CN" w:bidi="ar"/>
        </w:rPr>
      </w:pPr>
      <w:bookmarkStart w:id="6" w:name="_GoBack"/>
      <w:bookmarkEnd w:id="6"/>
    </w:p>
    <w:p>
      <w:pPr>
        <w:pStyle w:val="2"/>
        <w:rPr>
          <w:rFonts w:hint="eastAsia"/>
          <w:lang w:val="en-US"/>
        </w:rPr>
      </w:pPr>
      <w:bookmarkStart w:id="2" w:name="_Toc7719"/>
      <w:r>
        <w:rPr>
          <w:rFonts w:hint="eastAsia"/>
          <w:lang w:val="en-US" w:eastAsia="zh-CN"/>
        </w:rPr>
        <w:t>第三章  保护内容</w:t>
      </w:r>
      <w:bookmarkEnd w:id="2"/>
    </w:p>
    <w:p>
      <w:pPr>
        <w:keepNext w:val="0"/>
        <w:keepLines w:val="0"/>
        <w:widowControl w:val="0"/>
        <w:suppressLineNumbers w:val="0"/>
        <w:spacing w:before="0" w:beforeAutospacing="0" w:after="0" w:afterAutospacing="0" w:line="560" w:lineRule="exact"/>
        <w:ind w:left="0" w:right="0" w:firstLine="640" w:firstLineChars="200"/>
        <w:jc w:val="both"/>
        <w:rPr>
          <w:rStyle w:val="11"/>
          <w:rFonts w:hint="eastAsia"/>
          <w:lang w:val="en-US" w:eastAsia="zh-CN"/>
        </w:rPr>
      </w:pP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第十三条</w:t>
      </w:r>
      <w:r>
        <w:rPr>
          <w:rFonts w:hint="eastAsia" w:ascii="仿宋" w:hAnsi="仿宋" w:eastAsia="仿宋" w:cs="仿宋"/>
          <w:kern w:val="2"/>
          <w:sz w:val="32"/>
          <w:szCs w:val="32"/>
          <w:lang w:val="en-US" w:eastAsia="zh-CN" w:bidi="ar"/>
        </w:rPr>
        <w:t xml:space="preserve">  历史文化名城保护的主要内容包括：历史城区、历史文化街区、历史建筑、历史文化名镇名村和非物质文化遗产等。</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 xml:space="preserve">第十四条 </w:t>
      </w:r>
      <w:r>
        <w:rPr>
          <w:rFonts w:hint="eastAsia" w:ascii="仿宋" w:hAnsi="仿宋" w:eastAsia="仿宋" w:cs="仿宋"/>
          <w:kern w:val="2"/>
          <w:sz w:val="32"/>
          <w:szCs w:val="32"/>
          <w:lang w:val="en-US" w:eastAsia="zh-CN" w:bidi="ar"/>
        </w:rPr>
        <w:t xml:space="preserve"> 本市历史城区是指至建国初期形成的城区。主要包括明清时期形成的盛京城、民国时期形成的满铁附属地和商埠地等。盛京城保护范围是清时期沈阳城外城（八关）以内的区域，位于惠工街、联合路、东边城街、南关路、青年大街以内。满铁附属地保护范围是满铁附属地发展的核心区，东至和平大街，西至长大铁路，南至南五马路，北至北七马路。商埠地保护范围是北至哈尔滨路、东至北京街和青年大街、南至南运河、西至和平大街和北七马路。</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 xml:space="preserve">第十五条 </w:t>
      </w:r>
      <w:r>
        <w:rPr>
          <w:rFonts w:hint="eastAsia" w:ascii="仿宋" w:hAnsi="仿宋" w:eastAsia="仿宋" w:cs="仿宋"/>
          <w:kern w:val="2"/>
          <w:sz w:val="32"/>
          <w:szCs w:val="32"/>
          <w:lang w:val="en-US" w:eastAsia="zh-CN" w:bidi="ar"/>
        </w:rPr>
        <w:t xml:space="preserve"> 历史文化街区包括方城、慈恩寺、沈阳站—中山路—中山广场、铁西工人村等。方城历史文化街区保护范围是西顺城街、北顺城路、东顺城街、南顺城路以内的区域。慈恩寺历史文化街区保护范围是南至富教巷和般若寺巷、北至龙凤寺巷、东至大佛寺巷和慈恩寺东巷、西至大南街。沈阳站—中山路—中山广场历史文化街区保护范围是西至长大铁路、东至和平大街、中山路沿线南北各一个街区以及沈阳站、中山广场周边地区。铁西工人村历史文化街区保护范围是东至肇工街、南至南十一西路、西至重工街、北至南十西路。</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kern w:val="2"/>
          <w:sz w:val="32"/>
          <w:szCs w:val="32"/>
          <w:lang w:val="en-US" w:eastAsia="zh-CN" w:bidi="ar"/>
        </w:rPr>
      </w:pPr>
      <w:r>
        <w:rPr>
          <w:rStyle w:val="11"/>
          <w:rFonts w:hint="eastAsia"/>
          <w:lang w:val="en-US" w:eastAsia="zh-CN"/>
        </w:rPr>
        <w:t>第十六条</w:t>
      </w:r>
      <w:r>
        <w:rPr>
          <w:rFonts w:hint="eastAsia" w:ascii="仿宋" w:hAnsi="仿宋" w:eastAsia="仿宋" w:cs="仿宋"/>
          <w:kern w:val="2"/>
          <w:sz w:val="32"/>
          <w:szCs w:val="32"/>
          <w:lang w:val="en-US" w:eastAsia="zh-CN" w:bidi="ar"/>
        </w:rPr>
        <w:t xml:space="preserve">  历史建筑是指具有一定历史意义和保护价值，能够反映沈阳历史风貌和地方特色的，未公布为文物保护单位，也未登记为不可移动文物的建筑物和构筑物。历史建筑的认定标准和程序，由市人民政府制定并公布。</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kern w:val="2"/>
          <w:sz w:val="32"/>
          <w:szCs w:val="32"/>
          <w:lang w:val="en-US" w:eastAsia="zh-CN" w:bidi="ar"/>
        </w:rPr>
      </w:pPr>
    </w:p>
    <w:p>
      <w:pPr>
        <w:pStyle w:val="2"/>
        <w:rPr>
          <w:rFonts w:hint="eastAsia"/>
          <w:lang w:val="en-US"/>
        </w:rPr>
      </w:pPr>
      <w:bookmarkStart w:id="3" w:name="_Toc23180"/>
      <w:r>
        <w:rPr>
          <w:rFonts w:hint="eastAsia"/>
          <w:lang w:val="en-US" w:eastAsia="zh-CN"/>
        </w:rPr>
        <w:t>第四章  保护措施</w:t>
      </w:r>
      <w:bookmarkEnd w:id="3"/>
    </w:p>
    <w:p>
      <w:pPr>
        <w:keepNext w:val="0"/>
        <w:keepLines w:val="0"/>
        <w:widowControl w:val="0"/>
        <w:suppressLineNumbers w:val="0"/>
        <w:spacing w:before="0" w:beforeAutospacing="0" w:after="0" w:afterAutospacing="0" w:line="560" w:lineRule="exact"/>
        <w:ind w:left="0" w:right="0" w:firstLine="640" w:firstLineChars="200"/>
        <w:jc w:val="both"/>
        <w:rPr>
          <w:rStyle w:val="11"/>
          <w:rFonts w:hint="eastAsia"/>
          <w:lang w:val="en-US" w:eastAsia="zh-CN"/>
        </w:rPr>
      </w:pP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 xml:space="preserve">第十七条 </w:t>
      </w:r>
      <w:r>
        <w:rPr>
          <w:rFonts w:hint="eastAsia" w:ascii="仿宋" w:hAnsi="仿宋" w:eastAsia="仿宋" w:cs="仿宋"/>
          <w:kern w:val="2"/>
          <w:sz w:val="32"/>
          <w:szCs w:val="32"/>
          <w:lang w:val="en-US" w:eastAsia="zh-CN" w:bidi="ar"/>
        </w:rPr>
        <w:t xml:space="preserve"> 体现历史文化名城特色的建筑物、构筑物等人文景观，未纳入保护规划的，由市规划行政部门会同市文物、房产等有关行政部门进行勘查。符合保护条件的，依法实施规划控制。</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第十八条</w:t>
      </w:r>
      <w:r>
        <w:rPr>
          <w:rFonts w:hint="eastAsia" w:ascii="仿宋" w:hAnsi="仿宋" w:eastAsia="仿宋" w:cs="仿宋"/>
          <w:kern w:val="2"/>
          <w:sz w:val="32"/>
          <w:szCs w:val="32"/>
          <w:lang w:val="en-US" w:eastAsia="zh-CN" w:bidi="ar"/>
        </w:rPr>
        <w:t xml:space="preserve">  在历史文化名城保护规划范围内不得有下列行为：（一）违反保护规划进行拆除或者建设；（二）改变保护规划确定的土地使用功能；（三）突破建筑高度、容积率等控制指标，违反建筑体量、色彩等要求；（四）其他不符合保护规划的行为。</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 xml:space="preserve">第十九条 </w:t>
      </w:r>
      <w:r>
        <w:rPr>
          <w:rFonts w:hint="eastAsia" w:ascii="仿宋" w:hAnsi="仿宋" w:eastAsia="仿宋" w:cs="仿宋"/>
          <w:kern w:val="2"/>
          <w:sz w:val="32"/>
          <w:szCs w:val="32"/>
          <w:lang w:val="en-US" w:eastAsia="zh-CN" w:bidi="ar"/>
        </w:rPr>
        <w:t xml:space="preserve"> 历史城区、历史文化街区、历史文化名村建设控制地带内的新建建筑物、构筑物，应当符合保护规划确定的建设控制要求。对不符合保护规划确定的建设控制要求的建设项目，发展改革行政部门不得立项，规划行政部门不得批准规划，建设行政部门不得批准开工。</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 xml:space="preserve">第二十条 </w:t>
      </w:r>
      <w:r>
        <w:rPr>
          <w:rFonts w:hint="eastAsia" w:ascii="仿宋" w:hAnsi="仿宋" w:eastAsia="仿宋" w:cs="仿宋"/>
          <w:kern w:val="2"/>
          <w:sz w:val="32"/>
          <w:szCs w:val="32"/>
          <w:lang w:val="en-US" w:eastAsia="zh-CN" w:bidi="ar"/>
        </w:rPr>
        <w:t xml:space="preserve"> 对历史文化名城保护规划范围内经批准建成的不符合保护规划要求的建筑物、构筑物和其他设施，建设单位应当按照保护规划的要求逐步改造、迁建或者拆除。对历史文化名城保护规划范围内违法建设的并不符合保护规划要求的建筑物、构筑物和其他设施，规划行政部门及有关部门应当依法拆除或者责令改造。</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 xml:space="preserve">第二十一条 </w:t>
      </w:r>
      <w:r>
        <w:rPr>
          <w:rFonts w:hint="eastAsia" w:ascii="仿宋" w:hAnsi="仿宋" w:eastAsia="仿宋" w:cs="仿宋"/>
          <w:kern w:val="2"/>
          <w:sz w:val="32"/>
          <w:szCs w:val="32"/>
          <w:lang w:val="en-US" w:eastAsia="zh-CN" w:bidi="ar"/>
        </w:rPr>
        <w:t xml:space="preserve"> 市规划行政部门对历史文化名城保护规划范围内的建设项目进行规划审批时，应当对建设项目进行有关历史文化名城风貌影响的评估。未经评估，或者未通过评估的，不得进行审批。</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第二十二条</w:t>
      </w:r>
      <w:r>
        <w:rPr>
          <w:rFonts w:hint="eastAsia" w:ascii="仿宋" w:hAnsi="仿宋" w:eastAsia="仿宋" w:cs="仿宋"/>
          <w:kern w:val="2"/>
          <w:sz w:val="32"/>
          <w:szCs w:val="32"/>
          <w:lang w:val="en-US" w:eastAsia="zh-CN" w:bidi="ar"/>
        </w:rPr>
        <w:t xml:space="preserve">  在历史文化街区内进行建设，必须遵守保护规划和下列规定：（一）符合保护规划确定保护的院落、街巷胡同的布局、格局和风貌要求；（二）按照沈阳的地理、气候特点和园林景观要求，采取科学的绿化方式，配植绿化植物；（三）在非建设地带，不得进行除绿化、道路及市政管线铺设之外的建设活动；（四）按照有关保护要求和技术规范，配置和完善历史文化街区内的市政基础设施。</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 xml:space="preserve">第二十三条  </w:t>
      </w:r>
      <w:r>
        <w:rPr>
          <w:rFonts w:hint="eastAsia" w:ascii="仿宋" w:hAnsi="仿宋" w:eastAsia="仿宋" w:cs="仿宋"/>
          <w:kern w:val="2"/>
          <w:sz w:val="32"/>
          <w:szCs w:val="32"/>
          <w:lang w:val="en-US" w:eastAsia="zh-CN" w:bidi="ar"/>
        </w:rPr>
        <w:t>历史建筑不得违法拆除、改建、扩建。依法拆除的国有历史建筑中具有收藏价值的壁画、雕塑、建筑构件等，由文物行政部门指定的文物收藏单位收藏。</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 xml:space="preserve">第二十四条 </w:t>
      </w:r>
      <w:r>
        <w:rPr>
          <w:rFonts w:hint="eastAsia" w:ascii="仿宋" w:hAnsi="仿宋" w:eastAsia="仿宋" w:cs="仿宋"/>
          <w:kern w:val="2"/>
          <w:sz w:val="32"/>
          <w:szCs w:val="32"/>
          <w:lang w:val="en-US" w:eastAsia="zh-CN" w:bidi="ar"/>
        </w:rPr>
        <w:t xml:space="preserve"> 历史建筑的所有权人应当按照保护规划和修缮标准的要求，负责历史建筑的维护和修缮。所有权人和管理人、使用人对维护、修缮义务另有约定的，从其约定。对于所有权人和管理人、使用人确不具备维护、修缮能力的历史建筑，市和区、县（市）人民政府应当采取措施进行保护。</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 xml:space="preserve">第二十五条  </w:t>
      </w:r>
      <w:r>
        <w:rPr>
          <w:rFonts w:hint="eastAsia" w:ascii="仿宋" w:hAnsi="仿宋" w:eastAsia="仿宋" w:cs="仿宋"/>
          <w:kern w:val="2"/>
          <w:sz w:val="32"/>
          <w:szCs w:val="32"/>
          <w:lang w:val="en-US" w:eastAsia="zh-CN" w:bidi="ar"/>
        </w:rPr>
        <w:t>在对历史建筑进行维护和修缮前，应当经文物行政部门会同规划行政部门批准，并依照有关法律、法规的规定办理相关手续。</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第二十六条</w:t>
      </w:r>
      <w:r>
        <w:rPr>
          <w:rFonts w:hint="eastAsia" w:ascii="仿宋" w:hAnsi="仿宋" w:eastAsia="仿宋" w:cs="仿宋"/>
          <w:kern w:val="2"/>
          <w:sz w:val="32"/>
          <w:szCs w:val="32"/>
          <w:lang w:val="en-US" w:eastAsia="zh-CN" w:bidi="ar"/>
        </w:rPr>
        <w:t xml:space="preserve">  市规划行政部门应当会同市文物行政部门对历史文化街区、历史建筑和重要历史遗址等设置保护标志或者纪念标志。任何单位和个人不得擅自设置、移动、涂改或者损毁保护标志和纪念标志。</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 xml:space="preserve">第二十七条 </w:t>
      </w:r>
      <w:r>
        <w:rPr>
          <w:rFonts w:hint="eastAsia" w:ascii="仿宋" w:hAnsi="仿宋" w:eastAsia="仿宋" w:cs="仿宋"/>
          <w:kern w:val="2"/>
          <w:sz w:val="32"/>
          <w:szCs w:val="32"/>
          <w:lang w:val="en-US" w:eastAsia="zh-CN" w:bidi="ar"/>
        </w:rPr>
        <w:t xml:space="preserve"> 市和区、县（市）人民政府应当对著名村镇的历史文化进行挖掘和整理，符合历史文化名镇、名村条件的，应当依法申报。石佛寺历史文化名村的保护，按照有关法律法规和本条例的规定执行。</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第二十八条</w:t>
      </w:r>
      <w:r>
        <w:rPr>
          <w:rFonts w:hint="eastAsia" w:ascii="仿宋" w:hAnsi="仿宋" w:eastAsia="仿宋" w:cs="仿宋"/>
          <w:kern w:val="2"/>
          <w:sz w:val="32"/>
          <w:szCs w:val="32"/>
          <w:lang w:val="en-US" w:eastAsia="zh-CN" w:bidi="ar"/>
        </w:rPr>
        <w:t xml:space="preserve">  体现沈阳工业历史文化内涵的遗产应当予以保护。市和铁西、大东等区、县（市）人民政府应当依法加强对工业历史文化遗产的普查、认定、记录和研究，通过设立博物馆、纪念馆等方式，做好工业历史文化遗产的保护工作。</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第二十九条</w:t>
      </w:r>
      <w:r>
        <w:rPr>
          <w:rFonts w:hint="eastAsia" w:ascii="仿宋" w:hAnsi="仿宋" w:eastAsia="仿宋" w:cs="仿宋"/>
          <w:kern w:val="2"/>
          <w:sz w:val="32"/>
          <w:szCs w:val="32"/>
          <w:lang w:val="en-US" w:eastAsia="zh-CN" w:bidi="ar"/>
        </w:rPr>
        <w:t xml:space="preserve">  体现沈阳历史文化内涵的历史地名应当予以保留；确需更改或者取消的，地名行政部门应当征求文物行政部门的意见。</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kern w:val="2"/>
          <w:sz w:val="32"/>
          <w:szCs w:val="32"/>
          <w:lang w:val="en-US" w:eastAsia="zh-CN" w:bidi="ar"/>
        </w:rPr>
      </w:pPr>
      <w:r>
        <w:rPr>
          <w:rStyle w:val="11"/>
          <w:rFonts w:hint="eastAsia"/>
          <w:lang w:val="en-US" w:eastAsia="zh-CN"/>
        </w:rPr>
        <w:t xml:space="preserve">第三十条 </w:t>
      </w:r>
      <w:r>
        <w:rPr>
          <w:rFonts w:hint="eastAsia" w:ascii="仿宋" w:hAnsi="仿宋" w:eastAsia="仿宋" w:cs="仿宋"/>
          <w:kern w:val="2"/>
          <w:sz w:val="32"/>
          <w:szCs w:val="32"/>
          <w:lang w:val="en-US" w:eastAsia="zh-CN" w:bidi="ar"/>
        </w:rPr>
        <w:t xml:space="preserve"> 市和区、县（市）人民政府应当根据实际情况做好有关非物质文化遗产的保护工作。市和区、县（市）人民政府应当组织对本地的故事传说、地方戏曲、传统工艺、民间手艺、饮食文化、民风民俗等文化遗产，进行搜集、整理、研究、保护和开发利用。鼓励和支持社会力量对民间传统文化艺术进行挖掘、整理，开设博物馆、纪念馆和陈列馆，举办各类展示和演艺活动；支持教育、研究机构培养专业人才以及名老艺人传徒授艺。</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kern w:val="2"/>
          <w:sz w:val="32"/>
          <w:szCs w:val="32"/>
          <w:lang w:val="en-US" w:eastAsia="zh-CN" w:bidi="ar"/>
        </w:rPr>
      </w:pPr>
    </w:p>
    <w:p>
      <w:pPr>
        <w:pStyle w:val="2"/>
        <w:rPr>
          <w:rFonts w:hint="eastAsia"/>
          <w:lang w:val="en-US"/>
        </w:rPr>
      </w:pPr>
      <w:bookmarkStart w:id="4" w:name="_Toc18000"/>
      <w:r>
        <w:rPr>
          <w:rFonts w:hint="eastAsia"/>
          <w:lang w:val="en-US" w:eastAsia="zh-CN"/>
        </w:rPr>
        <w:t>第五章  法律责任</w:t>
      </w:r>
      <w:bookmarkEnd w:id="4"/>
    </w:p>
    <w:p>
      <w:pPr>
        <w:keepNext w:val="0"/>
        <w:keepLines w:val="0"/>
        <w:widowControl w:val="0"/>
        <w:suppressLineNumbers w:val="0"/>
        <w:spacing w:before="0" w:beforeAutospacing="0" w:after="0" w:afterAutospacing="0" w:line="560" w:lineRule="exact"/>
        <w:ind w:left="0" w:right="0" w:firstLine="640" w:firstLineChars="200"/>
        <w:jc w:val="both"/>
        <w:rPr>
          <w:rStyle w:val="11"/>
          <w:rFonts w:hint="eastAsia"/>
          <w:lang w:val="en-US" w:eastAsia="zh-CN"/>
        </w:rPr>
      </w:pP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 xml:space="preserve">第三十一条  </w:t>
      </w:r>
      <w:r>
        <w:rPr>
          <w:rFonts w:hint="eastAsia" w:ascii="仿宋" w:hAnsi="仿宋" w:eastAsia="仿宋" w:cs="仿宋"/>
          <w:kern w:val="2"/>
          <w:sz w:val="32"/>
          <w:szCs w:val="32"/>
          <w:lang w:val="en-US" w:eastAsia="zh-CN" w:bidi="ar"/>
        </w:rPr>
        <w:t>违反本条例规定，国家机关及其工作人员有下列情形之一的，由市和区、县（市）人民政府或者有关部门责令改正，并依法给予行政处分；构成犯罪的，依法追究刑事责任：（一）擅自调整保护规划的；（二）擅自批准拆除、改建、扩建、迁移历史建筑的；（三）未按照保护规划要求审批建设项目的；（四）其他违反法律法规和本条例规定的行为。</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第三十二条</w:t>
      </w:r>
      <w:r>
        <w:rPr>
          <w:rFonts w:hint="eastAsia" w:ascii="仿宋" w:hAnsi="仿宋" w:eastAsia="仿宋" w:cs="仿宋"/>
          <w:kern w:val="2"/>
          <w:sz w:val="32"/>
          <w:szCs w:val="32"/>
          <w:lang w:val="en-US" w:eastAsia="zh-CN" w:bidi="ar"/>
        </w:rPr>
        <w:t xml:space="preserve">  违反本条例规定，未经批准维护和修缮历史建筑，造成历史风貌破坏的，由市规划行政部门责令停止违法行为、限期恢复原状或者采取其他补救措施；有违法所得的，没收违法所得；逾期不恢复原状或者不采取其他补救措施的，市规划行政部门可以指定有能力的单位代为恢复原状或者采取其他补救措施，所需费用由违法者承担；造成严重后果的，对单位并处5万元以上10万元以下的罚款，对个人并处1万元以上5万元以下的罚款；造成损失的，依法承担赔偿责任。</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 xml:space="preserve">第三十三条 </w:t>
      </w:r>
      <w:r>
        <w:rPr>
          <w:rFonts w:hint="eastAsia" w:ascii="仿宋" w:hAnsi="仿宋" w:eastAsia="仿宋" w:cs="仿宋"/>
          <w:kern w:val="2"/>
          <w:sz w:val="32"/>
          <w:szCs w:val="32"/>
          <w:lang w:val="en-US" w:eastAsia="zh-CN" w:bidi="ar"/>
        </w:rPr>
        <w:t xml:space="preserve"> 违反本条例规定，损坏或者擅自迁移、拆除历史建筑的，由市规划行政部门责令停止违法行为、限期恢复原状或者采取其他补救措施；有违法所得的，没收违法所得；逾期不恢复原状或者不采取其他补救措施的，市规划行政部门可以指定有能力的单位代为恢复原状或者采取其他补救措施，所需费用由违法者承担；造成严重后果的，对单位并处20万元以上50万元以下的罚款，对个人并处10万元以上20万元以下的罚款；造成损失的，依法承担赔偿责任。</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第三十四条</w:t>
      </w:r>
      <w:r>
        <w:rPr>
          <w:rFonts w:hint="eastAsia" w:ascii="仿宋" w:hAnsi="仿宋" w:eastAsia="仿宋" w:cs="仿宋"/>
          <w:kern w:val="2"/>
          <w:sz w:val="32"/>
          <w:szCs w:val="32"/>
          <w:lang w:val="en-US" w:eastAsia="zh-CN" w:bidi="ar"/>
        </w:rPr>
        <w:t xml:space="preserve">  违反本条例规定，擅自在历史文化街区内新建、扩建、改建各类违反保护规划要求的建筑物、构筑物和其他设施，造成历史文化街区的传统风貌或者地方民族特色破坏的，由市规划行政部门责令停止违法行为、限期恢复原状或者采取其他补救措施；有违法所得的，没收违法所得；逾期不恢复原状或者不采取其他补救措施的，市规划行政部门可以指定有能力的单位代为恢复原状或者采取其他补救措施，所需费用由违法者承担；造成严重后果的，对单位并处5万元以上10万元以下的罚款，对个人并处1万元以上5万元以下的罚款；造成损失的，依法承担赔偿责任。</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第三十五条</w:t>
      </w:r>
      <w:r>
        <w:rPr>
          <w:rFonts w:hint="eastAsia" w:ascii="仿宋" w:hAnsi="仿宋" w:eastAsia="仿宋" w:cs="仿宋"/>
          <w:kern w:val="2"/>
          <w:sz w:val="32"/>
          <w:szCs w:val="32"/>
          <w:lang w:val="en-US" w:eastAsia="zh-CN" w:bidi="ar"/>
        </w:rPr>
        <w:t xml:space="preserve">  违反本条例规定，擅自设置、移动、涂改或者损毁各类保护标志和纪念标志的，由市规划行政部门责令限期改正；逾期不改正的，对单位处1万元以上5万元以下的罚款，对个人处1000元以上1万元以下的罚款。</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kern w:val="2"/>
          <w:sz w:val="32"/>
          <w:szCs w:val="32"/>
          <w:lang w:val="en-US" w:eastAsia="zh-CN" w:bidi="ar"/>
        </w:rPr>
      </w:pPr>
      <w:r>
        <w:rPr>
          <w:rStyle w:val="11"/>
          <w:rFonts w:hint="eastAsia"/>
          <w:lang w:val="en-US" w:eastAsia="zh-CN"/>
        </w:rPr>
        <w:t>第三十六条</w:t>
      </w:r>
      <w:r>
        <w:rPr>
          <w:rFonts w:hint="eastAsia" w:ascii="仿宋" w:hAnsi="仿宋" w:eastAsia="仿宋" w:cs="仿宋"/>
          <w:kern w:val="2"/>
          <w:sz w:val="32"/>
          <w:szCs w:val="32"/>
          <w:lang w:val="en-US" w:eastAsia="zh-CN" w:bidi="ar"/>
        </w:rPr>
        <w:t xml:space="preserve">  当事人对行政处罚决定不服的，可以依法申请行政复议或者提起行政诉讼；逾期不申请行政复议也不提起行政诉讼又不履行行政处罚决定的，由作出处罚决定的行政机关申请人民法院强制执行。</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kern w:val="2"/>
          <w:sz w:val="32"/>
          <w:szCs w:val="32"/>
          <w:lang w:val="en-US" w:eastAsia="zh-CN" w:bidi="ar"/>
        </w:rPr>
      </w:pPr>
    </w:p>
    <w:p>
      <w:pPr>
        <w:pStyle w:val="2"/>
        <w:rPr>
          <w:rFonts w:hint="eastAsia"/>
          <w:lang w:val="en-US"/>
        </w:rPr>
      </w:pPr>
      <w:bookmarkStart w:id="5" w:name="_Toc29341"/>
      <w:r>
        <w:rPr>
          <w:rFonts w:hint="eastAsia"/>
          <w:lang w:val="en-US" w:eastAsia="zh-CN"/>
        </w:rPr>
        <w:t>第六章  附    则</w:t>
      </w:r>
      <w:bookmarkEnd w:id="5"/>
    </w:p>
    <w:p>
      <w:pPr>
        <w:keepNext w:val="0"/>
        <w:keepLines w:val="0"/>
        <w:widowControl w:val="0"/>
        <w:suppressLineNumbers w:val="0"/>
        <w:spacing w:before="0" w:beforeAutospacing="0" w:after="0" w:afterAutospacing="0" w:line="560" w:lineRule="exact"/>
        <w:ind w:left="0" w:right="0" w:firstLine="640" w:firstLineChars="200"/>
        <w:jc w:val="both"/>
        <w:rPr>
          <w:rStyle w:val="11"/>
          <w:rFonts w:hint="eastAsia"/>
          <w:lang w:val="en-US" w:eastAsia="zh-CN"/>
        </w:rPr>
      </w:pP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第三十七条</w:t>
      </w:r>
      <w:r>
        <w:rPr>
          <w:rFonts w:hint="eastAsia" w:ascii="仿宋" w:hAnsi="仿宋" w:eastAsia="仿宋" w:cs="仿宋"/>
          <w:kern w:val="2"/>
          <w:sz w:val="32"/>
          <w:szCs w:val="32"/>
          <w:lang w:val="en-US" w:eastAsia="zh-CN" w:bidi="ar"/>
        </w:rPr>
        <w:t xml:space="preserve">  本条例自2009年9月1日起施行。</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 w:hAnsi="仿宋" w:eastAsia="仿宋" w:cs="仿宋"/>
          <w:sz w:val="32"/>
          <w:szCs w:val="32"/>
        </w:rPr>
      </w:pPr>
    </w:p>
    <w:p>
      <w:pPr>
        <w:spacing w:line="560" w:lineRule="exact"/>
        <w:rPr>
          <w:rFonts w:hint="eastAsia" w:ascii="仿宋" w:hAnsi="仿宋" w:eastAsia="仿宋" w:cs="仿宋"/>
          <w:sz w:val="32"/>
          <w:szCs w:val="32"/>
        </w:rPr>
      </w:pPr>
    </w:p>
    <w:sectPr>
      <w:footerReference r:id="rId3" w:type="default"/>
      <w:pgSz w:w="11906" w:h="16838"/>
      <w:pgMar w:top="2041" w:right="1531" w:bottom="2041" w:left="1531" w:header="851" w:footer="992" w:gutter="0"/>
      <w:pgNumType w:fmt="decimal"/>
      <w:cols w:space="72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5"/>
                            <w:keepNext w:val="0"/>
                            <w:keepLines w:val="0"/>
                            <w:pageBreakBefore w:val="0"/>
                            <w:widowControl w:val="0"/>
                            <w:kinsoku/>
                            <w:wordWrap/>
                            <w:overflowPunct/>
                            <w:topLinePunct w:val="0"/>
                            <w:autoSpaceDE/>
                            <w:autoSpaceDN/>
                            <w:bidi w:val="0"/>
                            <w:adjustRightInd/>
                            <w:snapToGrid w:val="0"/>
                            <w:spacing w:line="240" w:lineRule="auto"/>
                            <w:ind w:left="420" w:leftChars="200" w:right="420" w:rightChars="200" w:firstLine="0" w:firstLineChars="0"/>
                            <w:jc w:val="left"/>
                            <w:textAlignment w:val="auto"/>
                            <w:outlineLvl w:val="9"/>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vert="horz" wrap="none" lIns="0" tIns="0" rIns="0" bIns="0" anchor="t" upright="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CC+AKSxgEAAGsDAAAOAAAAAAAAAAEAIAAAAB4BAABkcnMvZTJvRG9jLnht&#10;bFBLBQYAAAAABgAGAFkBAABWBQAAAAA=&#10;">
              <v:fill on="f" focussize="0,0"/>
              <v:stroke on="f"/>
              <v:imagedata o:title=""/>
              <o:lock v:ext="edit" aspectratio="f"/>
              <v:textbox inset="0mm,0mm,0mm,0mm" style="mso-fit-shape-to-text:t;">
                <w:txbxContent>
                  <w:p>
                    <w:pPr>
                      <w:pStyle w:val="5"/>
                      <w:keepNext w:val="0"/>
                      <w:keepLines w:val="0"/>
                      <w:pageBreakBefore w:val="0"/>
                      <w:widowControl w:val="0"/>
                      <w:kinsoku/>
                      <w:wordWrap/>
                      <w:overflowPunct/>
                      <w:topLinePunct w:val="0"/>
                      <w:autoSpaceDE/>
                      <w:autoSpaceDN/>
                      <w:bidi w:val="0"/>
                      <w:adjustRightInd/>
                      <w:snapToGrid w:val="0"/>
                      <w:spacing w:line="240" w:lineRule="auto"/>
                      <w:ind w:left="420" w:leftChars="200" w:right="420" w:rightChars="200" w:firstLine="0" w:firstLineChars="0"/>
                      <w:jc w:val="left"/>
                      <w:textAlignment w:val="auto"/>
                      <w:outlineLvl w:val="9"/>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hyphenationZone w:val="36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9F1"/>
    <w:rsid w:val="000002D8"/>
    <w:rsid w:val="00003585"/>
    <w:rsid w:val="00014686"/>
    <w:rsid w:val="00017797"/>
    <w:rsid w:val="00021DF8"/>
    <w:rsid w:val="000241CB"/>
    <w:rsid w:val="000319B6"/>
    <w:rsid w:val="0003441F"/>
    <w:rsid w:val="00034F3F"/>
    <w:rsid w:val="00037460"/>
    <w:rsid w:val="000409F9"/>
    <w:rsid w:val="000411AE"/>
    <w:rsid w:val="00043D9D"/>
    <w:rsid w:val="000451A6"/>
    <w:rsid w:val="0006663B"/>
    <w:rsid w:val="00067781"/>
    <w:rsid w:val="000767A4"/>
    <w:rsid w:val="0008038C"/>
    <w:rsid w:val="00081D57"/>
    <w:rsid w:val="00096C3C"/>
    <w:rsid w:val="00097351"/>
    <w:rsid w:val="000A36BE"/>
    <w:rsid w:val="000A39E9"/>
    <w:rsid w:val="000A49E3"/>
    <w:rsid w:val="000B20F8"/>
    <w:rsid w:val="000B3E78"/>
    <w:rsid w:val="000C4386"/>
    <w:rsid w:val="000D0728"/>
    <w:rsid w:val="000E162C"/>
    <w:rsid w:val="000E4177"/>
    <w:rsid w:val="000E4D6B"/>
    <w:rsid w:val="000E5A7C"/>
    <w:rsid w:val="000E5BC1"/>
    <w:rsid w:val="000F1BAC"/>
    <w:rsid w:val="00116AA4"/>
    <w:rsid w:val="001211DC"/>
    <w:rsid w:val="00130DC4"/>
    <w:rsid w:val="00131750"/>
    <w:rsid w:val="00132CC4"/>
    <w:rsid w:val="00146C89"/>
    <w:rsid w:val="00163B9E"/>
    <w:rsid w:val="00170682"/>
    <w:rsid w:val="00174D6D"/>
    <w:rsid w:val="0017688F"/>
    <w:rsid w:val="00180E34"/>
    <w:rsid w:val="00181A71"/>
    <w:rsid w:val="001826E2"/>
    <w:rsid w:val="00182F23"/>
    <w:rsid w:val="00183BC2"/>
    <w:rsid w:val="0018607A"/>
    <w:rsid w:val="001860E2"/>
    <w:rsid w:val="00191109"/>
    <w:rsid w:val="001A1B82"/>
    <w:rsid w:val="001B1310"/>
    <w:rsid w:val="001B41EF"/>
    <w:rsid w:val="001B5072"/>
    <w:rsid w:val="001D2140"/>
    <w:rsid w:val="001D3D9F"/>
    <w:rsid w:val="001E1C7F"/>
    <w:rsid w:val="001E2E60"/>
    <w:rsid w:val="001E3E9D"/>
    <w:rsid w:val="001F63ED"/>
    <w:rsid w:val="001F6B51"/>
    <w:rsid w:val="00200C01"/>
    <w:rsid w:val="00210D4E"/>
    <w:rsid w:val="00214AE7"/>
    <w:rsid w:val="002215BD"/>
    <w:rsid w:val="002243E6"/>
    <w:rsid w:val="002273E6"/>
    <w:rsid w:val="00240A0E"/>
    <w:rsid w:val="00243187"/>
    <w:rsid w:val="00247D0F"/>
    <w:rsid w:val="00250924"/>
    <w:rsid w:val="00256DE8"/>
    <w:rsid w:val="00261EBF"/>
    <w:rsid w:val="00266008"/>
    <w:rsid w:val="00267B07"/>
    <w:rsid w:val="00271AF6"/>
    <w:rsid w:val="0027367C"/>
    <w:rsid w:val="00274174"/>
    <w:rsid w:val="002754A6"/>
    <w:rsid w:val="00284182"/>
    <w:rsid w:val="002876E2"/>
    <w:rsid w:val="002950C0"/>
    <w:rsid w:val="002A0D09"/>
    <w:rsid w:val="002A398C"/>
    <w:rsid w:val="002B1E13"/>
    <w:rsid w:val="002B5861"/>
    <w:rsid w:val="002B5923"/>
    <w:rsid w:val="002B799C"/>
    <w:rsid w:val="002C247C"/>
    <w:rsid w:val="002C362A"/>
    <w:rsid w:val="002C3B62"/>
    <w:rsid w:val="002C5480"/>
    <w:rsid w:val="002D3DFE"/>
    <w:rsid w:val="002D6BAC"/>
    <w:rsid w:val="002E392C"/>
    <w:rsid w:val="002F7680"/>
    <w:rsid w:val="00304566"/>
    <w:rsid w:val="00312076"/>
    <w:rsid w:val="00326C74"/>
    <w:rsid w:val="00327A18"/>
    <w:rsid w:val="00327A47"/>
    <w:rsid w:val="0033275F"/>
    <w:rsid w:val="00337156"/>
    <w:rsid w:val="00340214"/>
    <w:rsid w:val="003431C5"/>
    <w:rsid w:val="00350DA4"/>
    <w:rsid w:val="00353F50"/>
    <w:rsid w:val="00362CB4"/>
    <w:rsid w:val="00364676"/>
    <w:rsid w:val="00366821"/>
    <w:rsid w:val="00371134"/>
    <w:rsid w:val="003756D2"/>
    <w:rsid w:val="00382E6A"/>
    <w:rsid w:val="003965BE"/>
    <w:rsid w:val="003A1FF8"/>
    <w:rsid w:val="003A2536"/>
    <w:rsid w:val="003B0608"/>
    <w:rsid w:val="003B40AB"/>
    <w:rsid w:val="003C3E89"/>
    <w:rsid w:val="003C532C"/>
    <w:rsid w:val="003C72CC"/>
    <w:rsid w:val="003D349A"/>
    <w:rsid w:val="003E5F17"/>
    <w:rsid w:val="003F2DD0"/>
    <w:rsid w:val="003F6F15"/>
    <w:rsid w:val="003F6F4A"/>
    <w:rsid w:val="003F71B0"/>
    <w:rsid w:val="0040585B"/>
    <w:rsid w:val="00405984"/>
    <w:rsid w:val="004069F1"/>
    <w:rsid w:val="00410795"/>
    <w:rsid w:val="00412F3C"/>
    <w:rsid w:val="0041372F"/>
    <w:rsid w:val="00414950"/>
    <w:rsid w:val="00416A66"/>
    <w:rsid w:val="00417439"/>
    <w:rsid w:val="00420F37"/>
    <w:rsid w:val="00432475"/>
    <w:rsid w:val="004328B4"/>
    <w:rsid w:val="004345CF"/>
    <w:rsid w:val="00442E9B"/>
    <w:rsid w:val="00443EC0"/>
    <w:rsid w:val="0045572F"/>
    <w:rsid w:val="00460176"/>
    <w:rsid w:val="0046156A"/>
    <w:rsid w:val="004642C8"/>
    <w:rsid w:val="004644EB"/>
    <w:rsid w:val="0046611B"/>
    <w:rsid w:val="00471974"/>
    <w:rsid w:val="00474CC8"/>
    <w:rsid w:val="00474F61"/>
    <w:rsid w:val="0047564B"/>
    <w:rsid w:val="00492166"/>
    <w:rsid w:val="004A0B4D"/>
    <w:rsid w:val="004A2ADE"/>
    <w:rsid w:val="004A2E60"/>
    <w:rsid w:val="004C0AAB"/>
    <w:rsid w:val="004C1A59"/>
    <w:rsid w:val="004D08E1"/>
    <w:rsid w:val="004D65E7"/>
    <w:rsid w:val="004D75EC"/>
    <w:rsid w:val="004D7BE9"/>
    <w:rsid w:val="004E03C9"/>
    <w:rsid w:val="004E65CE"/>
    <w:rsid w:val="004F0BDD"/>
    <w:rsid w:val="004F1256"/>
    <w:rsid w:val="004F1E6E"/>
    <w:rsid w:val="00506236"/>
    <w:rsid w:val="00521102"/>
    <w:rsid w:val="005257E0"/>
    <w:rsid w:val="00526322"/>
    <w:rsid w:val="00527027"/>
    <w:rsid w:val="005352B0"/>
    <w:rsid w:val="005360EF"/>
    <w:rsid w:val="005363E6"/>
    <w:rsid w:val="00536DD1"/>
    <w:rsid w:val="00537634"/>
    <w:rsid w:val="00541C00"/>
    <w:rsid w:val="00553418"/>
    <w:rsid w:val="00557421"/>
    <w:rsid w:val="00557E32"/>
    <w:rsid w:val="00560E04"/>
    <w:rsid w:val="005616B1"/>
    <w:rsid w:val="00562591"/>
    <w:rsid w:val="00563D88"/>
    <w:rsid w:val="005649F7"/>
    <w:rsid w:val="00572740"/>
    <w:rsid w:val="00572FB7"/>
    <w:rsid w:val="0057385F"/>
    <w:rsid w:val="00577B99"/>
    <w:rsid w:val="00581F64"/>
    <w:rsid w:val="00582BDE"/>
    <w:rsid w:val="00585DFC"/>
    <w:rsid w:val="00587815"/>
    <w:rsid w:val="00591662"/>
    <w:rsid w:val="00592FF6"/>
    <w:rsid w:val="00596668"/>
    <w:rsid w:val="00596FF3"/>
    <w:rsid w:val="0059721D"/>
    <w:rsid w:val="005A22F0"/>
    <w:rsid w:val="005A6F73"/>
    <w:rsid w:val="005B1434"/>
    <w:rsid w:val="005C275B"/>
    <w:rsid w:val="005C59EB"/>
    <w:rsid w:val="005C5DB0"/>
    <w:rsid w:val="005E3B7D"/>
    <w:rsid w:val="005E3DD0"/>
    <w:rsid w:val="005E41F4"/>
    <w:rsid w:val="005E6F75"/>
    <w:rsid w:val="005E7868"/>
    <w:rsid w:val="005F56C9"/>
    <w:rsid w:val="006001B7"/>
    <w:rsid w:val="00607D48"/>
    <w:rsid w:val="006146B0"/>
    <w:rsid w:val="0061493E"/>
    <w:rsid w:val="006208A7"/>
    <w:rsid w:val="0062641A"/>
    <w:rsid w:val="006372B4"/>
    <w:rsid w:val="00644ADF"/>
    <w:rsid w:val="006538FF"/>
    <w:rsid w:val="00655881"/>
    <w:rsid w:val="00660F70"/>
    <w:rsid w:val="00676A27"/>
    <w:rsid w:val="00676F56"/>
    <w:rsid w:val="006772E5"/>
    <w:rsid w:val="006775DE"/>
    <w:rsid w:val="00683051"/>
    <w:rsid w:val="00687405"/>
    <w:rsid w:val="00693734"/>
    <w:rsid w:val="00694290"/>
    <w:rsid w:val="0069641F"/>
    <w:rsid w:val="006978BC"/>
    <w:rsid w:val="006A1623"/>
    <w:rsid w:val="006A3C68"/>
    <w:rsid w:val="006A45AF"/>
    <w:rsid w:val="006A75E5"/>
    <w:rsid w:val="006A7F99"/>
    <w:rsid w:val="006B1D16"/>
    <w:rsid w:val="006C02DC"/>
    <w:rsid w:val="006D1CA8"/>
    <w:rsid w:val="006E00E3"/>
    <w:rsid w:val="006F0E1D"/>
    <w:rsid w:val="006F1086"/>
    <w:rsid w:val="006F4E9E"/>
    <w:rsid w:val="006F5DDE"/>
    <w:rsid w:val="00702AD3"/>
    <w:rsid w:val="00711AA4"/>
    <w:rsid w:val="0072258B"/>
    <w:rsid w:val="0072330F"/>
    <w:rsid w:val="00725F31"/>
    <w:rsid w:val="00732733"/>
    <w:rsid w:val="00740AE6"/>
    <w:rsid w:val="007439DF"/>
    <w:rsid w:val="007478D6"/>
    <w:rsid w:val="0075742D"/>
    <w:rsid w:val="00761406"/>
    <w:rsid w:val="0076169B"/>
    <w:rsid w:val="00761887"/>
    <w:rsid w:val="00765C25"/>
    <w:rsid w:val="00776DA8"/>
    <w:rsid w:val="00777305"/>
    <w:rsid w:val="0077750A"/>
    <w:rsid w:val="007920AC"/>
    <w:rsid w:val="00792552"/>
    <w:rsid w:val="007A2022"/>
    <w:rsid w:val="007A49E9"/>
    <w:rsid w:val="007A5128"/>
    <w:rsid w:val="007C1CF8"/>
    <w:rsid w:val="007C2081"/>
    <w:rsid w:val="007C3D07"/>
    <w:rsid w:val="007D6448"/>
    <w:rsid w:val="007D712A"/>
    <w:rsid w:val="007E64F5"/>
    <w:rsid w:val="007F20EF"/>
    <w:rsid w:val="00803108"/>
    <w:rsid w:val="00803BDE"/>
    <w:rsid w:val="00816502"/>
    <w:rsid w:val="00817962"/>
    <w:rsid w:val="00825D44"/>
    <w:rsid w:val="00830818"/>
    <w:rsid w:val="008310B4"/>
    <w:rsid w:val="008339BE"/>
    <w:rsid w:val="00846FB8"/>
    <w:rsid w:val="008473FE"/>
    <w:rsid w:val="008579CB"/>
    <w:rsid w:val="00861EDE"/>
    <w:rsid w:val="00864268"/>
    <w:rsid w:val="0087026B"/>
    <w:rsid w:val="00871CA1"/>
    <w:rsid w:val="00875A35"/>
    <w:rsid w:val="00876AF7"/>
    <w:rsid w:val="008A0D16"/>
    <w:rsid w:val="008A1024"/>
    <w:rsid w:val="008A265E"/>
    <w:rsid w:val="008A4BD8"/>
    <w:rsid w:val="008A664C"/>
    <w:rsid w:val="008B74EE"/>
    <w:rsid w:val="008C0EC3"/>
    <w:rsid w:val="008D044B"/>
    <w:rsid w:val="008D1B7C"/>
    <w:rsid w:val="008D6F7B"/>
    <w:rsid w:val="008E38C8"/>
    <w:rsid w:val="008E3D93"/>
    <w:rsid w:val="008F60DA"/>
    <w:rsid w:val="00900A78"/>
    <w:rsid w:val="00906850"/>
    <w:rsid w:val="009168B7"/>
    <w:rsid w:val="009266FF"/>
    <w:rsid w:val="009374B3"/>
    <w:rsid w:val="009378E2"/>
    <w:rsid w:val="0095247F"/>
    <w:rsid w:val="009569F4"/>
    <w:rsid w:val="00966E17"/>
    <w:rsid w:val="009719DA"/>
    <w:rsid w:val="00971BDC"/>
    <w:rsid w:val="00971F9C"/>
    <w:rsid w:val="009750E9"/>
    <w:rsid w:val="00990335"/>
    <w:rsid w:val="009A0161"/>
    <w:rsid w:val="009A1D37"/>
    <w:rsid w:val="009A7719"/>
    <w:rsid w:val="009B26BB"/>
    <w:rsid w:val="009B3F12"/>
    <w:rsid w:val="009B54D3"/>
    <w:rsid w:val="009B7C45"/>
    <w:rsid w:val="009C328D"/>
    <w:rsid w:val="009C703F"/>
    <w:rsid w:val="009C799B"/>
    <w:rsid w:val="009D0839"/>
    <w:rsid w:val="009D1FC0"/>
    <w:rsid w:val="009E0C13"/>
    <w:rsid w:val="009F7B4C"/>
    <w:rsid w:val="00A015DC"/>
    <w:rsid w:val="00A0194D"/>
    <w:rsid w:val="00A02C44"/>
    <w:rsid w:val="00A079A9"/>
    <w:rsid w:val="00A145A0"/>
    <w:rsid w:val="00A15439"/>
    <w:rsid w:val="00A17CB4"/>
    <w:rsid w:val="00A204EC"/>
    <w:rsid w:val="00A22E7A"/>
    <w:rsid w:val="00A25754"/>
    <w:rsid w:val="00A3165B"/>
    <w:rsid w:val="00A3214D"/>
    <w:rsid w:val="00A4039F"/>
    <w:rsid w:val="00A40CA6"/>
    <w:rsid w:val="00A532C6"/>
    <w:rsid w:val="00A57A47"/>
    <w:rsid w:val="00A602E2"/>
    <w:rsid w:val="00A604CF"/>
    <w:rsid w:val="00A63D5C"/>
    <w:rsid w:val="00A659AB"/>
    <w:rsid w:val="00A71DA0"/>
    <w:rsid w:val="00A73A4D"/>
    <w:rsid w:val="00A761BE"/>
    <w:rsid w:val="00A80290"/>
    <w:rsid w:val="00A83E30"/>
    <w:rsid w:val="00A8570F"/>
    <w:rsid w:val="00AA01F8"/>
    <w:rsid w:val="00AA37DF"/>
    <w:rsid w:val="00AB37E2"/>
    <w:rsid w:val="00AD4F92"/>
    <w:rsid w:val="00AD7254"/>
    <w:rsid w:val="00AE0ADF"/>
    <w:rsid w:val="00AE5864"/>
    <w:rsid w:val="00B11B25"/>
    <w:rsid w:val="00B222FD"/>
    <w:rsid w:val="00B223DD"/>
    <w:rsid w:val="00B24C42"/>
    <w:rsid w:val="00B27EBB"/>
    <w:rsid w:val="00B35704"/>
    <w:rsid w:val="00B4789A"/>
    <w:rsid w:val="00B514E3"/>
    <w:rsid w:val="00B53AB2"/>
    <w:rsid w:val="00B576FF"/>
    <w:rsid w:val="00B85EFC"/>
    <w:rsid w:val="00B92697"/>
    <w:rsid w:val="00B94120"/>
    <w:rsid w:val="00BA0925"/>
    <w:rsid w:val="00BA68A2"/>
    <w:rsid w:val="00BB188D"/>
    <w:rsid w:val="00BB3D50"/>
    <w:rsid w:val="00BB6114"/>
    <w:rsid w:val="00BC3D7C"/>
    <w:rsid w:val="00BC417E"/>
    <w:rsid w:val="00BC6D93"/>
    <w:rsid w:val="00BD2A1E"/>
    <w:rsid w:val="00BD46EE"/>
    <w:rsid w:val="00BD5FEA"/>
    <w:rsid w:val="00BE28B1"/>
    <w:rsid w:val="00BE2D71"/>
    <w:rsid w:val="00BF0CB3"/>
    <w:rsid w:val="00BF2E6E"/>
    <w:rsid w:val="00BF4F51"/>
    <w:rsid w:val="00BF585F"/>
    <w:rsid w:val="00BF7127"/>
    <w:rsid w:val="00C064F9"/>
    <w:rsid w:val="00C078B4"/>
    <w:rsid w:val="00C114BC"/>
    <w:rsid w:val="00C143CB"/>
    <w:rsid w:val="00C25A63"/>
    <w:rsid w:val="00C267BB"/>
    <w:rsid w:val="00C26F09"/>
    <w:rsid w:val="00C30A29"/>
    <w:rsid w:val="00C30AA6"/>
    <w:rsid w:val="00C350C7"/>
    <w:rsid w:val="00C35A70"/>
    <w:rsid w:val="00C4036B"/>
    <w:rsid w:val="00C428BC"/>
    <w:rsid w:val="00C4314E"/>
    <w:rsid w:val="00C5609A"/>
    <w:rsid w:val="00C60007"/>
    <w:rsid w:val="00C62538"/>
    <w:rsid w:val="00C63D0C"/>
    <w:rsid w:val="00C63EBE"/>
    <w:rsid w:val="00C67D04"/>
    <w:rsid w:val="00C7039D"/>
    <w:rsid w:val="00C74C5B"/>
    <w:rsid w:val="00C83FC1"/>
    <w:rsid w:val="00C851BA"/>
    <w:rsid w:val="00C93C8A"/>
    <w:rsid w:val="00CA1837"/>
    <w:rsid w:val="00CA7DE8"/>
    <w:rsid w:val="00CB4BCF"/>
    <w:rsid w:val="00CB55FD"/>
    <w:rsid w:val="00CD5299"/>
    <w:rsid w:val="00CE16E8"/>
    <w:rsid w:val="00CE2903"/>
    <w:rsid w:val="00CF5924"/>
    <w:rsid w:val="00D20445"/>
    <w:rsid w:val="00D207B3"/>
    <w:rsid w:val="00D227DF"/>
    <w:rsid w:val="00D325EB"/>
    <w:rsid w:val="00D409EB"/>
    <w:rsid w:val="00D41AAA"/>
    <w:rsid w:val="00D423B4"/>
    <w:rsid w:val="00D43ABD"/>
    <w:rsid w:val="00D43FA1"/>
    <w:rsid w:val="00D47F46"/>
    <w:rsid w:val="00D641B4"/>
    <w:rsid w:val="00D65D2C"/>
    <w:rsid w:val="00D733B3"/>
    <w:rsid w:val="00D77FF1"/>
    <w:rsid w:val="00D8010F"/>
    <w:rsid w:val="00D8680C"/>
    <w:rsid w:val="00D87C70"/>
    <w:rsid w:val="00D93971"/>
    <w:rsid w:val="00DA0981"/>
    <w:rsid w:val="00DA32A2"/>
    <w:rsid w:val="00DA4E6B"/>
    <w:rsid w:val="00DB7926"/>
    <w:rsid w:val="00DC2A8E"/>
    <w:rsid w:val="00DC4D27"/>
    <w:rsid w:val="00DD06ED"/>
    <w:rsid w:val="00DD5136"/>
    <w:rsid w:val="00DD572A"/>
    <w:rsid w:val="00DE3ED0"/>
    <w:rsid w:val="00E034C6"/>
    <w:rsid w:val="00E057C5"/>
    <w:rsid w:val="00E066D0"/>
    <w:rsid w:val="00E32A99"/>
    <w:rsid w:val="00E33801"/>
    <w:rsid w:val="00E43C46"/>
    <w:rsid w:val="00E55F2B"/>
    <w:rsid w:val="00E56A97"/>
    <w:rsid w:val="00E853A3"/>
    <w:rsid w:val="00E85C51"/>
    <w:rsid w:val="00E86276"/>
    <w:rsid w:val="00E91B2C"/>
    <w:rsid w:val="00E9657D"/>
    <w:rsid w:val="00E96676"/>
    <w:rsid w:val="00EA21DA"/>
    <w:rsid w:val="00EA31B6"/>
    <w:rsid w:val="00EA397F"/>
    <w:rsid w:val="00EA4A53"/>
    <w:rsid w:val="00EA56AE"/>
    <w:rsid w:val="00EA5EDB"/>
    <w:rsid w:val="00EB20F7"/>
    <w:rsid w:val="00EC34D4"/>
    <w:rsid w:val="00ED50E1"/>
    <w:rsid w:val="00EE4898"/>
    <w:rsid w:val="00EE62FF"/>
    <w:rsid w:val="00EF6FD6"/>
    <w:rsid w:val="00F001CA"/>
    <w:rsid w:val="00F051E8"/>
    <w:rsid w:val="00F0648C"/>
    <w:rsid w:val="00F07301"/>
    <w:rsid w:val="00F07CB3"/>
    <w:rsid w:val="00F1162A"/>
    <w:rsid w:val="00F12342"/>
    <w:rsid w:val="00F12359"/>
    <w:rsid w:val="00F130AF"/>
    <w:rsid w:val="00F21F94"/>
    <w:rsid w:val="00F23384"/>
    <w:rsid w:val="00F23B91"/>
    <w:rsid w:val="00F25BEF"/>
    <w:rsid w:val="00F34FB9"/>
    <w:rsid w:val="00F5142C"/>
    <w:rsid w:val="00F52152"/>
    <w:rsid w:val="00F52599"/>
    <w:rsid w:val="00F52EC7"/>
    <w:rsid w:val="00F55EAE"/>
    <w:rsid w:val="00F57BA1"/>
    <w:rsid w:val="00F607D5"/>
    <w:rsid w:val="00F64B95"/>
    <w:rsid w:val="00F6649B"/>
    <w:rsid w:val="00F66BCA"/>
    <w:rsid w:val="00F82244"/>
    <w:rsid w:val="00F84C9E"/>
    <w:rsid w:val="00F9086D"/>
    <w:rsid w:val="00F9322F"/>
    <w:rsid w:val="00FA686A"/>
    <w:rsid w:val="00FA6A74"/>
    <w:rsid w:val="00FA764B"/>
    <w:rsid w:val="00FB1661"/>
    <w:rsid w:val="00FC38A1"/>
    <w:rsid w:val="00FD1301"/>
    <w:rsid w:val="00FD1D06"/>
    <w:rsid w:val="00FD6659"/>
    <w:rsid w:val="00FE1043"/>
    <w:rsid w:val="00FF5AE7"/>
    <w:rsid w:val="00FF60C6"/>
    <w:rsid w:val="01051BC2"/>
    <w:rsid w:val="016F5C35"/>
    <w:rsid w:val="01853A99"/>
    <w:rsid w:val="01972D60"/>
    <w:rsid w:val="019F29FF"/>
    <w:rsid w:val="01B07530"/>
    <w:rsid w:val="01C93546"/>
    <w:rsid w:val="022A532B"/>
    <w:rsid w:val="02706198"/>
    <w:rsid w:val="02BB10C4"/>
    <w:rsid w:val="02E335AF"/>
    <w:rsid w:val="034E4A22"/>
    <w:rsid w:val="037173F5"/>
    <w:rsid w:val="03E059D2"/>
    <w:rsid w:val="046B7EF9"/>
    <w:rsid w:val="047562DE"/>
    <w:rsid w:val="04900C53"/>
    <w:rsid w:val="049722EE"/>
    <w:rsid w:val="051A30BF"/>
    <w:rsid w:val="051B4077"/>
    <w:rsid w:val="052A3F92"/>
    <w:rsid w:val="053068BE"/>
    <w:rsid w:val="05BD73DC"/>
    <w:rsid w:val="061B56B0"/>
    <w:rsid w:val="06611DC8"/>
    <w:rsid w:val="06742669"/>
    <w:rsid w:val="068F1C88"/>
    <w:rsid w:val="06A52A2F"/>
    <w:rsid w:val="06BB1A3E"/>
    <w:rsid w:val="06D27684"/>
    <w:rsid w:val="06F47A3E"/>
    <w:rsid w:val="06FE4C7B"/>
    <w:rsid w:val="07C466F9"/>
    <w:rsid w:val="07F10DC0"/>
    <w:rsid w:val="07FE6FB6"/>
    <w:rsid w:val="080D3997"/>
    <w:rsid w:val="082A37BE"/>
    <w:rsid w:val="08935BC4"/>
    <w:rsid w:val="08E64EDB"/>
    <w:rsid w:val="08F76E4E"/>
    <w:rsid w:val="09303886"/>
    <w:rsid w:val="094E2166"/>
    <w:rsid w:val="09545708"/>
    <w:rsid w:val="09B537A1"/>
    <w:rsid w:val="0A8C3D2E"/>
    <w:rsid w:val="0AAD4A9B"/>
    <w:rsid w:val="0AF62434"/>
    <w:rsid w:val="0B201CF0"/>
    <w:rsid w:val="0B4724B0"/>
    <w:rsid w:val="0BAC149A"/>
    <w:rsid w:val="0C320844"/>
    <w:rsid w:val="0C58755E"/>
    <w:rsid w:val="0C6E62A7"/>
    <w:rsid w:val="0CAD576F"/>
    <w:rsid w:val="0D495165"/>
    <w:rsid w:val="0D516708"/>
    <w:rsid w:val="0D705D65"/>
    <w:rsid w:val="0D970C3A"/>
    <w:rsid w:val="0DDF6E30"/>
    <w:rsid w:val="0DE04D9C"/>
    <w:rsid w:val="0F0732D8"/>
    <w:rsid w:val="0F1A630E"/>
    <w:rsid w:val="0F2A4A63"/>
    <w:rsid w:val="0FE65D02"/>
    <w:rsid w:val="101843A9"/>
    <w:rsid w:val="10627B38"/>
    <w:rsid w:val="10836A79"/>
    <w:rsid w:val="10A646F2"/>
    <w:rsid w:val="10F055B0"/>
    <w:rsid w:val="113A565D"/>
    <w:rsid w:val="11A3282F"/>
    <w:rsid w:val="11BF194F"/>
    <w:rsid w:val="11E526F8"/>
    <w:rsid w:val="12032FD1"/>
    <w:rsid w:val="12501663"/>
    <w:rsid w:val="12921963"/>
    <w:rsid w:val="12976BF4"/>
    <w:rsid w:val="12FB32D9"/>
    <w:rsid w:val="131D114D"/>
    <w:rsid w:val="13675AF7"/>
    <w:rsid w:val="13881CB2"/>
    <w:rsid w:val="13AF0DB0"/>
    <w:rsid w:val="13B84C12"/>
    <w:rsid w:val="13D6470E"/>
    <w:rsid w:val="14023069"/>
    <w:rsid w:val="14093F1B"/>
    <w:rsid w:val="140E03CB"/>
    <w:rsid w:val="14572D96"/>
    <w:rsid w:val="14725DF3"/>
    <w:rsid w:val="14BA20EB"/>
    <w:rsid w:val="14E4537D"/>
    <w:rsid w:val="152A714F"/>
    <w:rsid w:val="156D2257"/>
    <w:rsid w:val="15883D87"/>
    <w:rsid w:val="158A4D68"/>
    <w:rsid w:val="15AE338E"/>
    <w:rsid w:val="15D26080"/>
    <w:rsid w:val="160C6692"/>
    <w:rsid w:val="166F2CEE"/>
    <w:rsid w:val="168738C3"/>
    <w:rsid w:val="168C6C88"/>
    <w:rsid w:val="169C4C1E"/>
    <w:rsid w:val="16DE4F0A"/>
    <w:rsid w:val="17072161"/>
    <w:rsid w:val="171D4256"/>
    <w:rsid w:val="17305B1F"/>
    <w:rsid w:val="185D3EB2"/>
    <w:rsid w:val="18AD19C0"/>
    <w:rsid w:val="18F97311"/>
    <w:rsid w:val="19025465"/>
    <w:rsid w:val="192201FD"/>
    <w:rsid w:val="1930599F"/>
    <w:rsid w:val="194467B3"/>
    <w:rsid w:val="194739B0"/>
    <w:rsid w:val="194E1DDE"/>
    <w:rsid w:val="19A9569B"/>
    <w:rsid w:val="19BE4516"/>
    <w:rsid w:val="19C8553A"/>
    <w:rsid w:val="19EF167F"/>
    <w:rsid w:val="1A0B1E27"/>
    <w:rsid w:val="1A234E77"/>
    <w:rsid w:val="1A2C240B"/>
    <w:rsid w:val="1A513FF9"/>
    <w:rsid w:val="1ACC509D"/>
    <w:rsid w:val="1ADB0DA2"/>
    <w:rsid w:val="1B06088A"/>
    <w:rsid w:val="1B220777"/>
    <w:rsid w:val="1B574B73"/>
    <w:rsid w:val="1B676744"/>
    <w:rsid w:val="1BC13337"/>
    <w:rsid w:val="1BF6420E"/>
    <w:rsid w:val="1C6540F3"/>
    <w:rsid w:val="1CAC6918"/>
    <w:rsid w:val="1CB53191"/>
    <w:rsid w:val="1CD220F0"/>
    <w:rsid w:val="1CEB540E"/>
    <w:rsid w:val="1D5E4B71"/>
    <w:rsid w:val="1E1B06B9"/>
    <w:rsid w:val="1EBF613B"/>
    <w:rsid w:val="1EC36185"/>
    <w:rsid w:val="1F435EC9"/>
    <w:rsid w:val="1F503903"/>
    <w:rsid w:val="1F786767"/>
    <w:rsid w:val="1FA4765D"/>
    <w:rsid w:val="1FB16189"/>
    <w:rsid w:val="1FCF4B1D"/>
    <w:rsid w:val="1FD646DD"/>
    <w:rsid w:val="1FE2166B"/>
    <w:rsid w:val="201D7FEC"/>
    <w:rsid w:val="20357325"/>
    <w:rsid w:val="204C24C3"/>
    <w:rsid w:val="20702194"/>
    <w:rsid w:val="20D005C2"/>
    <w:rsid w:val="21553C7F"/>
    <w:rsid w:val="21B46EA8"/>
    <w:rsid w:val="222D2EDD"/>
    <w:rsid w:val="22320694"/>
    <w:rsid w:val="228E1A7C"/>
    <w:rsid w:val="22941ED8"/>
    <w:rsid w:val="22FD42DA"/>
    <w:rsid w:val="23087A91"/>
    <w:rsid w:val="23471EE9"/>
    <w:rsid w:val="2352717F"/>
    <w:rsid w:val="23660A05"/>
    <w:rsid w:val="237041E3"/>
    <w:rsid w:val="237431B0"/>
    <w:rsid w:val="247316FD"/>
    <w:rsid w:val="24887EA6"/>
    <w:rsid w:val="249204FC"/>
    <w:rsid w:val="24D25A92"/>
    <w:rsid w:val="251353A8"/>
    <w:rsid w:val="25865479"/>
    <w:rsid w:val="259B1E7E"/>
    <w:rsid w:val="265165AD"/>
    <w:rsid w:val="268F05CC"/>
    <w:rsid w:val="27411DBA"/>
    <w:rsid w:val="27544B9D"/>
    <w:rsid w:val="2770139F"/>
    <w:rsid w:val="27B71403"/>
    <w:rsid w:val="284A4E31"/>
    <w:rsid w:val="2859370C"/>
    <w:rsid w:val="28803835"/>
    <w:rsid w:val="28CC55C8"/>
    <w:rsid w:val="29070618"/>
    <w:rsid w:val="29E66142"/>
    <w:rsid w:val="2A024F82"/>
    <w:rsid w:val="2A76755E"/>
    <w:rsid w:val="2AB252CF"/>
    <w:rsid w:val="2ADF3094"/>
    <w:rsid w:val="2B7647A2"/>
    <w:rsid w:val="2B7A4EFF"/>
    <w:rsid w:val="2B9076E2"/>
    <w:rsid w:val="2BD9140F"/>
    <w:rsid w:val="2BE45E6D"/>
    <w:rsid w:val="2BF67D7D"/>
    <w:rsid w:val="2C237419"/>
    <w:rsid w:val="2C531703"/>
    <w:rsid w:val="2C5B2BB8"/>
    <w:rsid w:val="2C69365C"/>
    <w:rsid w:val="2C8A703F"/>
    <w:rsid w:val="2CA624D2"/>
    <w:rsid w:val="2CAB2600"/>
    <w:rsid w:val="2CF6672E"/>
    <w:rsid w:val="2DED3F13"/>
    <w:rsid w:val="2E2B3406"/>
    <w:rsid w:val="2E4A7B35"/>
    <w:rsid w:val="2EE372C3"/>
    <w:rsid w:val="2F1A1FC9"/>
    <w:rsid w:val="2F943E4B"/>
    <w:rsid w:val="2FC7793C"/>
    <w:rsid w:val="2FF2314C"/>
    <w:rsid w:val="2FFB0F18"/>
    <w:rsid w:val="300D3841"/>
    <w:rsid w:val="3024185D"/>
    <w:rsid w:val="304A1A07"/>
    <w:rsid w:val="30C5468C"/>
    <w:rsid w:val="310A600B"/>
    <w:rsid w:val="31394B6D"/>
    <w:rsid w:val="318F3095"/>
    <w:rsid w:val="322054E2"/>
    <w:rsid w:val="32696861"/>
    <w:rsid w:val="32FD4595"/>
    <w:rsid w:val="335B5D3E"/>
    <w:rsid w:val="33907B65"/>
    <w:rsid w:val="33B15E67"/>
    <w:rsid w:val="33B77020"/>
    <w:rsid w:val="340269D0"/>
    <w:rsid w:val="34412505"/>
    <w:rsid w:val="34D53C58"/>
    <w:rsid w:val="350202EE"/>
    <w:rsid w:val="350D0E7D"/>
    <w:rsid w:val="35687CE4"/>
    <w:rsid w:val="362C35A8"/>
    <w:rsid w:val="364F58B6"/>
    <w:rsid w:val="3681181F"/>
    <w:rsid w:val="36911E77"/>
    <w:rsid w:val="36932EDB"/>
    <w:rsid w:val="36B46682"/>
    <w:rsid w:val="37620260"/>
    <w:rsid w:val="3764581F"/>
    <w:rsid w:val="37BA5750"/>
    <w:rsid w:val="37CD16BE"/>
    <w:rsid w:val="38114365"/>
    <w:rsid w:val="38C0367A"/>
    <w:rsid w:val="38D67C8C"/>
    <w:rsid w:val="39023EF6"/>
    <w:rsid w:val="39256A34"/>
    <w:rsid w:val="39353471"/>
    <w:rsid w:val="39877ADA"/>
    <w:rsid w:val="39C27E4A"/>
    <w:rsid w:val="39CE6967"/>
    <w:rsid w:val="39DF650B"/>
    <w:rsid w:val="39EA2C12"/>
    <w:rsid w:val="3A144156"/>
    <w:rsid w:val="3A175EE4"/>
    <w:rsid w:val="3A7A48F4"/>
    <w:rsid w:val="3AA724BE"/>
    <w:rsid w:val="3B113C56"/>
    <w:rsid w:val="3B166EF3"/>
    <w:rsid w:val="3B2A1697"/>
    <w:rsid w:val="3B357729"/>
    <w:rsid w:val="3B6303A3"/>
    <w:rsid w:val="3B970652"/>
    <w:rsid w:val="3C63749C"/>
    <w:rsid w:val="3C7C0AD9"/>
    <w:rsid w:val="3CA27920"/>
    <w:rsid w:val="3CAF6491"/>
    <w:rsid w:val="3CB25365"/>
    <w:rsid w:val="3D266F20"/>
    <w:rsid w:val="3D6E0ED6"/>
    <w:rsid w:val="3D8C7D9E"/>
    <w:rsid w:val="3DDC1CCC"/>
    <w:rsid w:val="3E062AFC"/>
    <w:rsid w:val="3E474407"/>
    <w:rsid w:val="3E5C4F83"/>
    <w:rsid w:val="3E5E374E"/>
    <w:rsid w:val="3EB96119"/>
    <w:rsid w:val="3EBF12C6"/>
    <w:rsid w:val="3ED661F9"/>
    <w:rsid w:val="3FC364AB"/>
    <w:rsid w:val="3FF763C6"/>
    <w:rsid w:val="400F6405"/>
    <w:rsid w:val="40144136"/>
    <w:rsid w:val="401E686E"/>
    <w:rsid w:val="405D1EEF"/>
    <w:rsid w:val="4068667C"/>
    <w:rsid w:val="406D3CCC"/>
    <w:rsid w:val="40BD4D08"/>
    <w:rsid w:val="40E206DE"/>
    <w:rsid w:val="411A6716"/>
    <w:rsid w:val="411F3664"/>
    <w:rsid w:val="41674852"/>
    <w:rsid w:val="41715365"/>
    <w:rsid w:val="417F330F"/>
    <w:rsid w:val="418774A7"/>
    <w:rsid w:val="41B36892"/>
    <w:rsid w:val="423D0E1A"/>
    <w:rsid w:val="42A77643"/>
    <w:rsid w:val="42BB3568"/>
    <w:rsid w:val="433618E3"/>
    <w:rsid w:val="434906EF"/>
    <w:rsid w:val="43902F92"/>
    <w:rsid w:val="43BB5864"/>
    <w:rsid w:val="43D47283"/>
    <w:rsid w:val="44015158"/>
    <w:rsid w:val="443F6670"/>
    <w:rsid w:val="446964C0"/>
    <w:rsid w:val="44D65C21"/>
    <w:rsid w:val="45272B0A"/>
    <w:rsid w:val="455F48D6"/>
    <w:rsid w:val="45741C31"/>
    <w:rsid w:val="457B6D5D"/>
    <w:rsid w:val="457F1C35"/>
    <w:rsid w:val="45B17D82"/>
    <w:rsid w:val="45BD5D2A"/>
    <w:rsid w:val="46185497"/>
    <w:rsid w:val="46A94114"/>
    <w:rsid w:val="46D23591"/>
    <w:rsid w:val="4747483B"/>
    <w:rsid w:val="4752024C"/>
    <w:rsid w:val="479D34DA"/>
    <w:rsid w:val="48384FF9"/>
    <w:rsid w:val="48B4556B"/>
    <w:rsid w:val="48D15C4E"/>
    <w:rsid w:val="49741C41"/>
    <w:rsid w:val="4985592B"/>
    <w:rsid w:val="4A0B2CD5"/>
    <w:rsid w:val="4A312D13"/>
    <w:rsid w:val="4A431B58"/>
    <w:rsid w:val="4A642301"/>
    <w:rsid w:val="4B2847BE"/>
    <w:rsid w:val="4B726BBC"/>
    <w:rsid w:val="4BB23436"/>
    <w:rsid w:val="4C4654A4"/>
    <w:rsid w:val="4C4C1D0E"/>
    <w:rsid w:val="4C9A4880"/>
    <w:rsid w:val="4CAF2D12"/>
    <w:rsid w:val="4CF2108F"/>
    <w:rsid w:val="4D55097D"/>
    <w:rsid w:val="4D5E77CB"/>
    <w:rsid w:val="4D76741B"/>
    <w:rsid w:val="4D9B0A0F"/>
    <w:rsid w:val="4DB6051A"/>
    <w:rsid w:val="4DDD6FB3"/>
    <w:rsid w:val="4E060928"/>
    <w:rsid w:val="4E407A9C"/>
    <w:rsid w:val="4E4468D4"/>
    <w:rsid w:val="4E5B5EB2"/>
    <w:rsid w:val="4E877F54"/>
    <w:rsid w:val="4E8B296E"/>
    <w:rsid w:val="4EF440F3"/>
    <w:rsid w:val="4F3C0534"/>
    <w:rsid w:val="4F5F3126"/>
    <w:rsid w:val="4F7D7854"/>
    <w:rsid w:val="4F7F7588"/>
    <w:rsid w:val="4FEE3C8F"/>
    <w:rsid w:val="4FF84140"/>
    <w:rsid w:val="501C3144"/>
    <w:rsid w:val="50343626"/>
    <w:rsid w:val="5099693A"/>
    <w:rsid w:val="50D504DE"/>
    <w:rsid w:val="50EF7D38"/>
    <w:rsid w:val="51100F7F"/>
    <w:rsid w:val="5110162C"/>
    <w:rsid w:val="514D4ED0"/>
    <w:rsid w:val="51582E03"/>
    <w:rsid w:val="516440E8"/>
    <w:rsid w:val="51AA3409"/>
    <w:rsid w:val="5212048B"/>
    <w:rsid w:val="52153B23"/>
    <w:rsid w:val="52503D47"/>
    <w:rsid w:val="52BE2755"/>
    <w:rsid w:val="52C252CC"/>
    <w:rsid w:val="52D454F2"/>
    <w:rsid w:val="532E2091"/>
    <w:rsid w:val="542E3E3B"/>
    <w:rsid w:val="5454185E"/>
    <w:rsid w:val="5461053A"/>
    <w:rsid w:val="5466087F"/>
    <w:rsid w:val="546C79AD"/>
    <w:rsid w:val="548328D3"/>
    <w:rsid w:val="54970FD2"/>
    <w:rsid w:val="54A05FA4"/>
    <w:rsid w:val="54E77D81"/>
    <w:rsid w:val="552672F6"/>
    <w:rsid w:val="55A80DB5"/>
    <w:rsid w:val="55E1405A"/>
    <w:rsid w:val="561E045F"/>
    <w:rsid w:val="5651155E"/>
    <w:rsid w:val="568277FC"/>
    <w:rsid w:val="56902235"/>
    <w:rsid w:val="579322BC"/>
    <w:rsid w:val="57DC07AC"/>
    <w:rsid w:val="58250A7C"/>
    <w:rsid w:val="585D0D73"/>
    <w:rsid w:val="5877287D"/>
    <w:rsid w:val="587E2B60"/>
    <w:rsid w:val="589C7904"/>
    <w:rsid w:val="58BF1CDD"/>
    <w:rsid w:val="594B1977"/>
    <w:rsid w:val="598067D5"/>
    <w:rsid w:val="59866208"/>
    <w:rsid w:val="59965ABB"/>
    <w:rsid w:val="59CC6296"/>
    <w:rsid w:val="5A7523CD"/>
    <w:rsid w:val="5AC874F0"/>
    <w:rsid w:val="5AE56123"/>
    <w:rsid w:val="5AF06C9D"/>
    <w:rsid w:val="5B407769"/>
    <w:rsid w:val="5BA0270B"/>
    <w:rsid w:val="5BB07EA3"/>
    <w:rsid w:val="5C175839"/>
    <w:rsid w:val="5CAE184C"/>
    <w:rsid w:val="5CCF3427"/>
    <w:rsid w:val="5CD958CD"/>
    <w:rsid w:val="5D4851DD"/>
    <w:rsid w:val="5D557162"/>
    <w:rsid w:val="5E431810"/>
    <w:rsid w:val="5E654974"/>
    <w:rsid w:val="5E822C64"/>
    <w:rsid w:val="5E8D2FE5"/>
    <w:rsid w:val="5E9E2143"/>
    <w:rsid w:val="5EA14CF3"/>
    <w:rsid w:val="5F9E0A02"/>
    <w:rsid w:val="5FF74ED1"/>
    <w:rsid w:val="602C263E"/>
    <w:rsid w:val="60307729"/>
    <w:rsid w:val="60325BBE"/>
    <w:rsid w:val="60337945"/>
    <w:rsid w:val="606E5643"/>
    <w:rsid w:val="607A1087"/>
    <w:rsid w:val="60BF7B30"/>
    <w:rsid w:val="60DE1EFA"/>
    <w:rsid w:val="60E50712"/>
    <w:rsid w:val="620E1834"/>
    <w:rsid w:val="62281FEF"/>
    <w:rsid w:val="62492030"/>
    <w:rsid w:val="62B37EF2"/>
    <w:rsid w:val="62D73A94"/>
    <w:rsid w:val="63194217"/>
    <w:rsid w:val="63305152"/>
    <w:rsid w:val="63550450"/>
    <w:rsid w:val="63B63C60"/>
    <w:rsid w:val="63BC4201"/>
    <w:rsid w:val="64132B93"/>
    <w:rsid w:val="64347265"/>
    <w:rsid w:val="64426ECA"/>
    <w:rsid w:val="64450612"/>
    <w:rsid w:val="646A1271"/>
    <w:rsid w:val="646E44A6"/>
    <w:rsid w:val="656D328E"/>
    <w:rsid w:val="65883AB5"/>
    <w:rsid w:val="65F50F8E"/>
    <w:rsid w:val="66312549"/>
    <w:rsid w:val="66397A67"/>
    <w:rsid w:val="66875EE0"/>
    <w:rsid w:val="66C435DD"/>
    <w:rsid w:val="67C00163"/>
    <w:rsid w:val="67F355AC"/>
    <w:rsid w:val="68710EE3"/>
    <w:rsid w:val="688D12C9"/>
    <w:rsid w:val="68B257B8"/>
    <w:rsid w:val="69405CFD"/>
    <w:rsid w:val="69EC4C56"/>
    <w:rsid w:val="69F42D6B"/>
    <w:rsid w:val="6A0C5365"/>
    <w:rsid w:val="6A5C7947"/>
    <w:rsid w:val="6A641A36"/>
    <w:rsid w:val="6A6D3308"/>
    <w:rsid w:val="6A9402CC"/>
    <w:rsid w:val="6AC55297"/>
    <w:rsid w:val="6AF6102C"/>
    <w:rsid w:val="6B114C1A"/>
    <w:rsid w:val="6B2B4114"/>
    <w:rsid w:val="6B5E7080"/>
    <w:rsid w:val="6B7B5383"/>
    <w:rsid w:val="6B7F0D8F"/>
    <w:rsid w:val="6BB6752A"/>
    <w:rsid w:val="6BB85749"/>
    <w:rsid w:val="6C1B1768"/>
    <w:rsid w:val="6D7C2742"/>
    <w:rsid w:val="6DAC0B96"/>
    <w:rsid w:val="6DF9485E"/>
    <w:rsid w:val="6E2C5A0D"/>
    <w:rsid w:val="6E4D179F"/>
    <w:rsid w:val="6F5F48E4"/>
    <w:rsid w:val="6F6019D1"/>
    <w:rsid w:val="6F8C77B6"/>
    <w:rsid w:val="6FC32718"/>
    <w:rsid w:val="70252703"/>
    <w:rsid w:val="70543150"/>
    <w:rsid w:val="7076728C"/>
    <w:rsid w:val="70C715EC"/>
    <w:rsid w:val="7118323A"/>
    <w:rsid w:val="71307C87"/>
    <w:rsid w:val="713D0CB0"/>
    <w:rsid w:val="72863E4F"/>
    <w:rsid w:val="728B3C94"/>
    <w:rsid w:val="72A67657"/>
    <w:rsid w:val="73000CF9"/>
    <w:rsid w:val="73126A27"/>
    <w:rsid w:val="73C94A09"/>
    <w:rsid w:val="73DC46E0"/>
    <w:rsid w:val="73F03AA8"/>
    <w:rsid w:val="74123FA8"/>
    <w:rsid w:val="74154608"/>
    <w:rsid w:val="741A26D9"/>
    <w:rsid w:val="746D05F1"/>
    <w:rsid w:val="74731B85"/>
    <w:rsid w:val="74D27347"/>
    <w:rsid w:val="74E4025B"/>
    <w:rsid w:val="75342426"/>
    <w:rsid w:val="755E7366"/>
    <w:rsid w:val="75615004"/>
    <w:rsid w:val="757B1C85"/>
    <w:rsid w:val="76AE4031"/>
    <w:rsid w:val="76B07C6D"/>
    <w:rsid w:val="771D706E"/>
    <w:rsid w:val="77464ED6"/>
    <w:rsid w:val="78083786"/>
    <w:rsid w:val="78153E8C"/>
    <w:rsid w:val="78343CE1"/>
    <w:rsid w:val="785B2C70"/>
    <w:rsid w:val="788C033F"/>
    <w:rsid w:val="78D13A33"/>
    <w:rsid w:val="78F718E7"/>
    <w:rsid w:val="79BE26D1"/>
    <w:rsid w:val="79BE5BBE"/>
    <w:rsid w:val="79C52AA7"/>
    <w:rsid w:val="79E42E56"/>
    <w:rsid w:val="7B6332DF"/>
    <w:rsid w:val="7B642DC3"/>
    <w:rsid w:val="7B9E0270"/>
    <w:rsid w:val="7C442459"/>
    <w:rsid w:val="7C7B6F55"/>
    <w:rsid w:val="7CAF622F"/>
    <w:rsid w:val="7CC30F06"/>
    <w:rsid w:val="7D08231F"/>
    <w:rsid w:val="7D327789"/>
    <w:rsid w:val="7D496A70"/>
    <w:rsid w:val="7DFD0298"/>
    <w:rsid w:val="7E1356DA"/>
    <w:rsid w:val="7EE73054"/>
    <w:rsid w:val="7F321906"/>
    <w:rsid w:val="7FC53A36"/>
    <w:rsid w:val="7FE54E46"/>
    <w:rsid w:val="7FF53094"/>
  </w:rsid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2"/>
    <w:qFormat/>
    <w:uiPriority w:val="0"/>
    <w:pPr>
      <w:keepNext/>
      <w:keepLines/>
      <w:spacing w:beforeAutospacing="0" w:afterAutospacing="0" w:line="560" w:lineRule="exact"/>
      <w:jc w:val="center"/>
      <w:outlineLvl w:val="0"/>
    </w:pPr>
    <w:rPr>
      <w:rFonts w:eastAsia="黑体"/>
      <w:kern w:val="44"/>
      <w:sz w:val="32"/>
      <w:szCs w:val="20"/>
    </w:rPr>
  </w:style>
  <w:style w:type="paragraph" w:styleId="3">
    <w:name w:val="heading 2"/>
    <w:basedOn w:val="1"/>
    <w:next w:val="1"/>
    <w:link w:val="11"/>
    <w:qFormat/>
    <w:uiPriority w:val="0"/>
    <w:pPr>
      <w:keepNext/>
      <w:keepLines/>
      <w:spacing w:beforeLines="0" w:beforeAutospacing="0" w:afterLines="0" w:afterAutospacing="0" w:line="560" w:lineRule="exact"/>
      <w:ind w:firstLine="640" w:firstLineChars="200"/>
      <w:outlineLvl w:val="1"/>
    </w:pPr>
    <w:rPr>
      <w:rFonts w:ascii="Arial" w:hAnsi="Arial" w:eastAsia="黑体"/>
      <w:kern w:val="0"/>
      <w:sz w:val="32"/>
      <w:szCs w:val="20"/>
    </w:rPr>
  </w:style>
  <w:style w:type="paragraph" w:styleId="4">
    <w:name w:val="heading 3"/>
    <w:basedOn w:val="1"/>
    <w:next w:val="1"/>
    <w:qFormat/>
    <w:uiPriority w:val="9"/>
    <w:pPr>
      <w:keepNext/>
      <w:keepLines/>
      <w:spacing w:before="200" w:beforeLines="200" w:beforeAutospacing="0" w:after="100" w:afterLines="100" w:afterAutospacing="0" w:line="560" w:lineRule="exact"/>
      <w:jc w:val="center"/>
      <w:outlineLvl w:val="2"/>
    </w:pPr>
    <w:rPr>
      <w:sz w:val="44"/>
    </w:rPr>
  </w:style>
  <w:style w:type="character" w:default="1" w:styleId="8">
    <w:name w:val="Default Paragraph Font"/>
    <w:unhideWhenUsed/>
    <w:qFormat/>
    <w:uiPriority w:val="1"/>
  </w:style>
  <w:style w:type="table" w:default="1" w:styleId="9">
    <w:name w:val="Normal Table"/>
    <w:unhideWhenUsed/>
    <w:qFormat/>
    <w:uiPriority w:val="99"/>
    <w:pPr>
      <w:keepNext w:val="0"/>
      <w:keepLines w:val="0"/>
      <w:widowControl/>
      <w:suppressLineNumbers w:val="0"/>
      <w:spacing w:before="0" w:beforeAutospacing="0" w:after="0" w:afterAutospacing="0"/>
      <w:ind w:left="0" w:right="0"/>
    </w:pPr>
    <w:rPr>
      <w:rFonts w:hint="default" w:ascii="Calibri" w:hAnsi="Calibri" w:cs="Calibri"/>
      <w:kern w:val="2"/>
      <w:sz w:val="21"/>
      <w:szCs w:val="22"/>
    </w:rPr>
    <w:tblPr>
      <w:tblLayout w:type="fixed"/>
      <w:tblCellMar>
        <w:top w:w="0" w:type="dxa"/>
        <w:left w:w="108" w:type="dxa"/>
        <w:bottom w:w="0" w:type="dxa"/>
        <w:right w:w="108" w:type="dxa"/>
      </w:tblCellMar>
    </w:tblPr>
    <w:tcPr>
      <w:textDirection w:val="lrTb"/>
    </w:tcPr>
  </w:style>
  <w:style w:type="paragraph" w:styleId="5">
    <w:name w:val="footer"/>
    <w:basedOn w:val="1"/>
    <w:unhideWhenUsed/>
    <w:uiPriority w:val="99"/>
    <w:pPr>
      <w:tabs>
        <w:tab w:val="center" w:pos="4153"/>
        <w:tab w:val="right" w:pos="8306"/>
      </w:tabs>
      <w:snapToGrid w:val="0"/>
      <w:jc w:val="left"/>
    </w:pPr>
    <w:rPr>
      <w:sz w:val="18"/>
    </w:rPr>
  </w:style>
  <w:style w:type="paragraph" w:styleId="6">
    <w:name w:val="header"/>
    <w:basedOn w:val="1"/>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unhideWhenUsed/>
    <w:uiPriority w:val="39"/>
    <w:pPr>
      <w:spacing w:line="560" w:lineRule="exact"/>
      <w:ind w:left="630" w:leftChars="300" w:right="630" w:rightChars="300"/>
    </w:pPr>
    <w:rPr>
      <w:rFonts w:eastAsia="楷体"/>
      <w:sz w:val="32"/>
    </w:rPr>
  </w:style>
  <w:style w:type="paragraph" w:customStyle="1" w:styleId="10">
    <w:name w:val="目录"/>
    <w:basedOn w:val="1"/>
    <w:qFormat/>
    <w:uiPriority w:val="0"/>
    <w:pPr>
      <w:spacing w:line="560" w:lineRule="exact"/>
      <w:ind w:firstLine="640" w:firstLineChars="200"/>
      <w:jc w:val="both"/>
    </w:pPr>
    <w:rPr>
      <w:rFonts w:eastAsia="楷体"/>
      <w:sz w:val="32"/>
    </w:rPr>
  </w:style>
  <w:style w:type="character" w:customStyle="1" w:styleId="11">
    <w:name w:val="标题 2 Char"/>
    <w:link w:val="3"/>
    <w:uiPriority w:val="0"/>
    <w:rPr>
      <w:rFonts w:ascii="Arial" w:hAnsi="Arial" w:eastAsia="黑体"/>
      <w:sz w:val="32"/>
    </w:rPr>
  </w:style>
  <w:style w:type="character" w:customStyle="1" w:styleId="12">
    <w:name w:val="标题 1 Char"/>
    <w:link w:val="2"/>
    <w:uiPriority w:val="0"/>
    <w:rPr>
      <w:rFonts w:ascii="Calibri" w:hAnsi="Calibri" w:eastAsia="黑体"/>
      <w:kern w:val="44"/>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9</Pages>
  <Words>562</Words>
  <Characters>3204</Characters>
  <Lines>26</Lines>
  <Paragraphs>7</Paragraphs>
  <ScaleCrop>false</ScaleCrop>
  <LinksUpToDate>false</LinksUpToDate>
  <CharactersWithSpaces>3759</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2016-08-23T02:18:00Z</dcterms:created>
  <dc:creator>Sky123.Org</dc:creator>
  <cp:lastModifiedBy>Administrator</cp:lastModifiedBy>
  <dcterms:modified xsi:type="dcterms:W3CDTF">2017-02-16T16:47:25Z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