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A15" w:rsidRDefault="00C55A15">
      <w:pPr>
        <w:spacing w:line="560" w:lineRule="exact"/>
        <w:rPr>
          <w:rFonts w:ascii="仿宋" w:eastAsia="仿宋" w:hAnsi="仿宋" w:cs="仿宋"/>
          <w:sz w:val="32"/>
          <w:szCs w:val="32"/>
        </w:rPr>
      </w:pPr>
    </w:p>
    <w:p w:rsidR="00C55A15" w:rsidRDefault="00C55A15">
      <w:pPr>
        <w:spacing w:line="560" w:lineRule="exact"/>
        <w:rPr>
          <w:rFonts w:ascii="仿宋" w:eastAsia="仿宋" w:hAnsi="仿宋" w:cs="仿宋"/>
          <w:sz w:val="32"/>
          <w:szCs w:val="32"/>
        </w:rPr>
      </w:pPr>
    </w:p>
    <w:p w:rsidR="00C55A15" w:rsidRDefault="000E0703">
      <w:pPr>
        <w:pStyle w:val="2"/>
        <w:spacing w:before="0" w:after="0" w:line="560" w:lineRule="exact"/>
      </w:pPr>
      <w:r>
        <w:rPr>
          <w:rFonts w:hint="eastAsia"/>
        </w:rPr>
        <w:t>抚顺市技术市场管理条例</w:t>
      </w:r>
    </w:p>
    <w:p w:rsidR="00C55A15" w:rsidRDefault="00C55A15">
      <w:pPr>
        <w:pStyle w:val="000"/>
      </w:pPr>
    </w:p>
    <w:p w:rsidR="00C55A15" w:rsidRDefault="000E0703">
      <w:pPr>
        <w:pStyle w:val="000"/>
      </w:pPr>
      <w:r>
        <w:rPr>
          <w:rFonts w:hint="eastAsia"/>
        </w:rPr>
        <w:t>（</w:t>
      </w:r>
      <w:r>
        <w:rPr>
          <w:rFonts w:hint="eastAsia"/>
        </w:rPr>
        <w:t>2005</w:t>
      </w:r>
      <w:r>
        <w:rPr>
          <w:rFonts w:hint="eastAsia"/>
        </w:rPr>
        <w:t>年</w:t>
      </w:r>
      <w:r>
        <w:rPr>
          <w:rFonts w:hint="eastAsia"/>
        </w:rPr>
        <w:t>10</w:t>
      </w:r>
      <w:r>
        <w:rPr>
          <w:rFonts w:hint="eastAsia"/>
        </w:rPr>
        <w:t>月</w:t>
      </w:r>
      <w:r>
        <w:rPr>
          <w:rFonts w:hint="eastAsia"/>
        </w:rPr>
        <w:t>31</w:t>
      </w:r>
      <w:r>
        <w:rPr>
          <w:rFonts w:hint="eastAsia"/>
        </w:rPr>
        <w:t>日抚顺市第十三届人民代表大会常务委员会第二十次会议通过</w:t>
      </w:r>
      <w:r>
        <w:rPr>
          <w:rFonts w:hint="eastAsia"/>
        </w:rPr>
        <w:t xml:space="preserve">  2005</w:t>
      </w:r>
      <w:r>
        <w:rPr>
          <w:rFonts w:hint="eastAsia"/>
        </w:rPr>
        <w:t>年</w:t>
      </w:r>
      <w:r>
        <w:rPr>
          <w:rFonts w:hint="eastAsia"/>
        </w:rPr>
        <w:t>11</w:t>
      </w:r>
      <w:r>
        <w:rPr>
          <w:rFonts w:hint="eastAsia"/>
        </w:rPr>
        <w:t>月</w:t>
      </w:r>
      <w:r>
        <w:rPr>
          <w:rFonts w:hint="eastAsia"/>
        </w:rPr>
        <w:t>25</w:t>
      </w:r>
      <w:r>
        <w:rPr>
          <w:rFonts w:hint="eastAsia"/>
        </w:rPr>
        <w:t>日辽宁省第十届人民代表大会常务委员会第二十二次会议批准</w:t>
      </w:r>
      <w:r>
        <w:rPr>
          <w:rFonts w:hint="eastAsia"/>
        </w:rPr>
        <w:t>）</w:t>
      </w:r>
    </w:p>
    <w:p w:rsidR="00C55A15" w:rsidRDefault="00C55A15">
      <w:pPr>
        <w:spacing w:line="560" w:lineRule="exact"/>
        <w:ind w:firstLineChars="200" w:firstLine="640"/>
        <w:rPr>
          <w:rFonts w:ascii="仿宋" w:eastAsia="仿宋" w:hAnsi="仿宋" w:cs="仿宋"/>
          <w:sz w:val="32"/>
          <w:szCs w:val="32"/>
        </w:rPr>
      </w:pPr>
    </w:p>
    <w:p w:rsidR="00C55A15" w:rsidRDefault="000E0703">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为促进技术交易，维护技术市场秩序，保障技术交易当事人的合法权益，推动技术进步和经济发展，根据有关法律、法规，结合本市实际，制定本条例。</w:t>
      </w:r>
    </w:p>
    <w:p w:rsidR="00C55A15" w:rsidRDefault="000E0703">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自然人、法人和其他组织在本行政区域内从事技术交易和技术交易服务，适用本条例。</w:t>
      </w:r>
    </w:p>
    <w:p w:rsidR="00C55A15" w:rsidRDefault="000E0703">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市科学技术行政部门是本行政区域内技术市场的主管部门，负责技术市场的管理工作。</w:t>
      </w:r>
    </w:p>
    <w:p w:rsidR="00C55A15" w:rsidRDefault="000E070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县、区科学技术行政部门按照管理权限负责本行政区域内的技术市场管理工作。</w:t>
      </w:r>
    </w:p>
    <w:p w:rsidR="00C55A15" w:rsidRDefault="000E0703">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工商行政管理、税务、财政、质量技</w:t>
      </w:r>
      <w:bookmarkStart w:id="0" w:name="_GoBack"/>
      <w:bookmarkEnd w:id="0"/>
      <w:r>
        <w:rPr>
          <w:rFonts w:ascii="仿宋" w:eastAsia="仿宋" w:hAnsi="仿宋" w:cs="仿宋" w:hint="eastAsia"/>
          <w:sz w:val="32"/>
          <w:szCs w:val="32"/>
        </w:rPr>
        <w:t>术监督等部门，按照各自的职责协同做好技术市场管理工作。</w:t>
      </w:r>
    </w:p>
    <w:p w:rsidR="00C55A15" w:rsidRDefault="000E0703">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第五条</w:t>
      </w:r>
      <w:r>
        <w:rPr>
          <w:rFonts w:ascii="黑体" w:eastAsia="黑体" w:hAnsi="黑体" w:cs="黑体"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除国家有特殊规定的以外，凡有益于经济建设、社会发展和科技进步的技术、技术信息，均可进入技术市场。</w:t>
      </w:r>
    </w:p>
    <w:p w:rsidR="00C55A15" w:rsidRDefault="000E070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技术交易活动不受地区、行业、隶属关系、经济性质和专业范围的限制。</w:t>
      </w:r>
    </w:p>
    <w:p w:rsidR="00C55A15" w:rsidRDefault="000E0703">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第六条</w:t>
      </w:r>
      <w:r>
        <w:rPr>
          <w:rFonts w:ascii="黑体" w:eastAsia="黑体" w:hAnsi="黑体" w:cs="黑体" w:hint="eastAsia"/>
          <w:sz w:val="32"/>
          <w:szCs w:val="32"/>
        </w:rPr>
        <w:t xml:space="preserve">  </w:t>
      </w:r>
      <w:r>
        <w:rPr>
          <w:rFonts w:ascii="仿宋" w:eastAsia="仿宋" w:hAnsi="仿宋" w:cs="仿宋" w:hint="eastAsia"/>
          <w:sz w:val="32"/>
          <w:szCs w:val="32"/>
        </w:rPr>
        <w:t>技术交易当事人依法获得的技术交易收入属于合法所得，受法律保护。</w:t>
      </w:r>
    </w:p>
    <w:p w:rsidR="00C55A15" w:rsidRDefault="000E0703">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第七条</w:t>
      </w:r>
      <w:r>
        <w:rPr>
          <w:rFonts w:ascii="黑体" w:eastAsia="黑体" w:hAnsi="黑体" w:cs="黑体" w:hint="eastAsia"/>
          <w:sz w:val="32"/>
          <w:szCs w:val="32"/>
        </w:rPr>
        <w:t xml:space="preserve">  </w:t>
      </w:r>
      <w:r>
        <w:rPr>
          <w:rFonts w:ascii="仿宋" w:eastAsia="仿宋" w:hAnsi="仿宋" w:cs="仿宋" w:hint="eastAsia"/>
          <w:sz w:val="32"/>
          <w:szCs w:val="32"/>
        </w:rPr>
        <w:t>技术交易活动和技术交易服务活动应当遵守自愿平等、互利有偿、诚实信用和协商一致的原则。</w:t>
      </w:r>
    </w:p>
    <w:p w:rsidR="00C55A15" w:rsidRDefault="000E0703">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在技术交易活动中，出让方必须是所提供技术的合法拥有者，并保证其所提供技术的真实性；中介方必须保证自己所提供技术信息的真实性及其来源的合法性；</w:t>
      </w:r>
    </w:p>
    <w:p w:rsidR="00C55A15" w:rsidRDefault="000E070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受让方必须按照合同约定使用技术、支付费用。</w:t>
      </w:r>
    </w:p>
    <w:p w:rsidR="00C55A15" w:rsidRDefault="000E0703">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进行技术交易和技术交易服务活动应当依法订立合同。</w:t>
      </w:r>
    </w:p>
    <w:p w:rsidR="00C55A15" w:rsidRDefault="000E0703">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技术合同按照自愿、属地原则，实行认定登记制度，同一合同不得重复登记。</w:t>
      </w:r>
    </w:p>
    <w:p w:rsidR="00C55A15" w:rsidRDefault="000E070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技术合同订立后，当事人需要申请认定登记的，应当持真实、完整的中文书面技术合同文本原件和相关附件，向经认可的技术合同登记机构申请技术合同认定登记。采用口头形式订立的技术合同，技术合同登记机构不予受理。</w:t>
      </w:r>
    </w:p>
    <w:p w:rsidR="00C55A15" w:rsidRDefault="000E0703">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第十一条</w:t>
      </w:r>
      <w:r>
        <w:rPr>
          <w:rFonts w:ascii="黑体" w:eastAsia="黑体" w:hAnsi="黑体" w:cs="黑体"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技术合同登记机构在受理认定登记申请之日起十日内作出认定登记决定，符合《技术合同认定规则》的发给登记证明。</w:t>
      </w:r>
    </w:p>
    <w:p w:rsidR="00C55A15" w:rsidRDefault="000E0703">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技术合同登记机构不得从事技术交易和技术交</w:t>
      </w:r>
      <w:r>
        <w:rPr>
          <w:rFonts w:ascii="仿宋" w:eastAsia="仿宋" w:hAnsi="仿宋" w:cs="仿宋" w:hint="eastAsia"/>
          <w:sz w:val="32"/>
          <w:szCs w:val="32"/>
        </w:rPr>
        <w:lastRenderedPageBreak/>
        <w:t>易服务活动。</w:t>
      </w:r>
    </w:p>
    <w:p w:rsidR="00C55A15" w:rsidRDefault="000E0703">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技术交易项目的价款、使用费用或者报酬，由当事人商定。技术的拥有者可以将其技术作价向技术交易的另一方投资入股。</w:t>
      </w:r>
    </w:p>
    <w:p w:rsidR="00C55A15" w:rsidRDefault="000E0703">
      <w:pPr>
        <w:spacing w:line="560" w:lineRule="exact"/>
        <w:ind w:firstLineChars="200" w:firstLine="608"/>
        <w:rPr>
          <w:rFonts w:ascii="仿宋" w:eastAsia="仿宋" w:hAnsi="仿宋" w:cs="仿宋"/>
          <w:spacing w:val="-8"/>
          <w:sz w:val="32"/>
          <w:szCs w:val="32"/>
        </w:rPr>
      </w:pPr>
      <w:r>
        <w:rPr>
          <w:rFonts w:ascii="黑体" w:eastAsia="黑体" w:hAnsi="黑体" w:cs="黑体" w:hint="eastAsia"/>
          <w:spacing w:val="-8"/>
          <w:sz w:val="32"/>
          <w:szCs w:val="32"/>
        </w:rPr>
        <w:t>第十四</w:t>
      </w:r>
      <w:r>
        <w:rPr>
          <w:rFonts w:ascii="黑体" w:eastAsia="黑体" w:hAnsi="黑体" w:cs="黑体" w:hint="eastAsia"/>
          <w:spacing w:val="-8"/>
          <w:sz w:val="32"/>
          <w:szCs w:val="32"/>
        </w:rPr>
        <w:t>条</w:t>
      </w:r>
      <w:r>
        <w:rPr>
          <w:rFonts w:ascii="仿宋" w:eastAsia="仿宋" w:hAnsi="仿宋" w:cs="仿宋" w:hint="eastAsia"/>
          <w:spacing w:val="-8"/>
          <w:sz w:val="32"/>
          <w:szCs w:val="32"/>
        </w:rPr>
        <w:t xml:space="preserve">  </w:t>
      </w:r>
      <w:r>
        <w:rPr>
          <w:rFonts w:ascii="仿宋" w:eastAsia="仿宋" w:hAnsi="仿宋" w:cs="仿宋" w:hint="eastAsia"/>
          <w:spacing w:val="-8"/>
          <w:sz w:val="32"/>
          <w:szCs w:val="32"/>
        </w:rPr>
        <w:t>在技术交易和技术交易服务活动中，禁止下列行为：</w:t>
      </w:r>
    </w:p>
    <w:p w:rsidR="00C55A15" w:rsidRDefault="000E070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（一）侵犯他人知识产权和其他合法的技术权益；</w:t>
      </w:r>
    </w:p>
    <w:p w:rsidR="00C55A15" w:rsidRDefault="000E070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（二）窃取他人技术秘密；</w:t>
      </w:r>
    </w:p>
    <w:p w:rsidR="00C55A15" w:rsidRDefault="000E070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（三）假冒专利技术；</w:t>
      </w:r>
    </w:p>
    <w:p w:rsidR="00C55A15" w:rsidRDefault="000E070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（四）做虚假广告、宣传；</w:t>
      </w:r>
    </w:p>
    <w:p w:rsidR="00C55A15" w:rsidRDefault="000E070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（五）以欺诈、胁迫等手段签订技术合同；</w:t>
      </w:r>
    </w:p>
    <w:p w:rsidR="00C55A15" w:rsidRDefault="000E070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（六）法律法规禁止的其他行为。</w:t>
      </w:r>
    </w:p>
    <w:p w:rsidR="00C55A15" w:rsidRDefault="000E0703">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技术交易服务机构应当依法注册登记，依照法律、法规以及行业规范在注册登记管理部门核准的范围内开展技术交易服务活动。国家对其资质另有规定的从其规定。</w:t>
      </w:r>
    </w:p>
    <w:p w:rsidR="00C55A15" w:rsidRDefault="000E0703">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在企事业单位统一组织下，科技人员以集体形式在工作时间从事技术交易活动，经认定登记的技术合同，可以按不高于合同项目纯收入的</w:t>
      </w:r>
      <w:r>
        <w:rPr>
          <w:rFonts w:ascii="仿宋" w:eastAsia="仿宋" w:hAnsi="仿宋" w:cs="仿宋" w:hint="eastAsia"/>
          <w:sz w:val="32"/>
          <w:szCs w:val="32"/>
        </w:rPr>
        <w:t>40%</w:t>
      </w:r>
      <w:r>
        <w:rPr>
          <w:rFonts w:ascii="仿宋" w:eastAsia="仿宋" w:hAnsi="仿宋" w:cs="仿宋" w:hint="eastAsia"/>
          <w:sz w:val="32"/>
          <w:szCs w:val="32"/>
        </w:rPr>
        <w:t>提取酬金；在业余时间从事技术交易活动，经认定登记的技术合同，可以按不高于合同项目纯收入的</w:t>
      </w:r>
      <w:r>
        <w:rPr>
          <w:rFonts w:ascii="仿宋" w:eastAsia="仿宋" w:hAnsi="仿宋" w:cs="仿宋" w:hint="eastAsia"/>
          <w:sz w:val="32"/>
          <w:szCs w:val="32"/>
        </w:rPr>
        <w:t>80%</w:t>
      </w:r>
      <w:r>
        <w:rPr>
          <w:rFonts w:ascii="仿宋" w:eastAsia="仿宋" w:hAnsi="仿宋" w:cs="仿宋" w:hint="eastAsia"/>
          <w:sz w:val="32"/>
          <w:szCs w:val="32"/>
        </w:rPr>
        <w:t>提取酬金。</w:t>
      </w:r>
    </w:p>
    <w:p w:rsidR="00C55A15" w:rsidRDefault="000E070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科技人员个人在完成本职工作和不侵犯本单位经济、技术权益的前提下，业余时间从事技术交易活动，税后收入全部归己，其中经批准使用单位资料、设备、材料的，由所在单位核收相应</w:t>
      </w:r>
      <w:r>
        <w:rPr>
          <w:rFonts w:ascii="仿宋" w:eastAsia="仿宋" w:hAnsi="仿宋" w:cs="仿宋" w:hint="eastAsia"/>
          <w:sz w:val="32"/>
          <w:szCs w:val="32"/>
        </w:rPr>
        <w:lastRenderedPageBreak/>
        <w:t>费用。</w:t>
      </w:r>
    </w:p>
    <w:p w:rsidR="00C55A15" w:rsidRDefault="000E0703">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单位取得的技术交易和技术交易服务的收入应当纳入本单位财务管理，单独核算。</w:t>
      </w:r>
    </w:p>
    <w:p w:rsidR="00C55A15" w:rsidRDefault="000E070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企业单位支付的技术</w:t>
      </w:r>
      <w:r>
        <w:rPr>
          <w:rFonts w:ascii="仿宋" w:eastAsia="仿宋" w:hAnsi="仿宋" w:cs="仿宋" w:hint="eastAsia"/>
          <w:sz w:val="32"/>
          <w:szCs w:val="32"/>
        </w:rPr>
        <w:t>价款、报酬、使用费、佣金，可以摊入成本。</w:t>
      </w:r>
    </w:p>
    <w:p w:rsidR="00C55A15" w:rsidRDefault="000E070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事业单位支付的技术价款、报酬、使用费、佣金，可以在事业费中列支。</w:t>
      </w:r>
    </w:p>
    <w:p w:rsidR="00C55A15" w:rsidRDefault="000E0703">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第十八条</w:t>
      </w:r>
      <w:r>
        <w:rPr>
          <w:rFonts w:ascii="仿宋" w:eastAsia="仿宋" w:hAnsi="仿宋" w:cs="仿宋" w:hint="eastAsia"/>
          <w:sz w:val="32"/>
          <w:szCs w:val="32"/>
        </w:rPr>
        <w:t xml:space="preserve">  </w:t>
      </w:r>
      <w:r>
        <w:rPr>
          <w:rFonts w:ascii="仿宋" w:eastAsia="仿宋" w:hAnsi="仿宋" w:cs="仿宋" w:hint="eastAsia"/>
          <w:sz w:val="32"/>
          <w:szCs w:val="32"/>
        </w:rPr>
        <w:t>技术合同买方可以从投产项目的新增纯收入中一次性提取</w:t>
      </w:r>
      <w:r>
        <w:rPr>
          <w:rFonts w:ascii="仿宋" w:eastAsia="仿宋" w:hAnsi="仿宋" w:cs="仿宋" w:hint="eastAsia"/>
          <w:sz w:val="32"/>
          <w:szCs w:val="32"/>
        </w:rPr>
        <w:t>3%</w:t>
      </w:r>
      <w:r>
        <w:rPr>
          <w:rFonts w:ascii="仿宋" w:eastAsia="仿宋" w:hAnsi="仿宋" w:cs="仿宋" w:hint="eastAsia"/>
          <w:sz w:val="32"/>
          <w:szCs w:val="32"/>
        </w:rPr>
        <w:t>至</w:t>
      </w:r>
      <w:r>
        <w:rPr>
          <w:rFonts w:ascii="仿宋" w:eastAsia="仿宋" w:hAnsi="仿宋" w:cs="仿宋" w:hint="eastAsia"/>
          <w:sz w:val="32"/>
          <w:szCs w:val="32"/>
        </w:rPr>
        <w:t>5%</w:t>
      </w:r>
      <w:r>
        <w:rPr>
          <w:rFonts w:ascii="仿宋" w:eastAsia="仿宋" w:hAnsi="仿宋" w:cs="仿宋" w:hint="eastAsia"/>
          <w:sz w:val="32"/>
          <w:szCs w:val="32"/>
        </w:rPr>
        <w:t>作为酬金，奖励为实施该项技术做出显著成绩的有关人员。</w:t>
      </w:r>
    </w:p>
    <w:p w:rsidR="00C55A15" w:rsidRDefault="000E0703">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第十九条</w:t>
      </w:r>
      <w:r>
        <w:rPr>
          <w:rFonts w:ascii="仿宋" w:eastAsia="仿宋" w:hAnsi="仿宋" w:cs="仿宋" w:hint="eastAsia"/>
          <w:sz w:val="32"/>
          <w:szCs w:val="32"/>
        </w:rPr>
        <w:t xml:space="preserve">  </w:t>
      </w:r>
      <w:r>
        <w:rPr>
          <w:rFonts w:ascii="仿宋" w:eastAsia="仿宋" w:hAnsi="仿宋" w:cs="仿宋" w:hint="eastAsia"/>
          <w:sz w:val="32"/>
          <w:szCs w:val="32"/>
        </w:rPr>
        <w:t>伪造技术合同或订立假技术合同骗取技术合同登记证明，或在技术性收入核算中弄虚作假的单位和个人，依法撤销其登记；涉及税收违法行为的，由税务机关依法处理；违反国家财务制度的，由财政部门依法处理。</w:t>
      </w:r>
    </w:p>
    <w:p w:rsidR="00C55A15" w:rsidRDefault="000E0703">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第二十条</w:t>
      </w:r>
      <w:r>
        <w:rPr>
          <w:rFonts w:ascii="仿宋" w:eastAsia="仿宋" w:hAnsi="仿宋" w:cs="仿宋" w:hint="eastAsia"/>
          <w:sz w:val="32"/>
          <w:szCs w:val="32"/>
        </w:rPr>
        <w:t xml:space="preserve">  </w:t>
      </w:r>
      <w:r>
        <w:rPr>
          <w:rFonts w:ascii="仿宋" w:eastAsia="仿宋" w:hAnsi="仿宋" w:cs="仿宋" w:hint="eastAsia"/>
          <w:sz w:val="32"/>
          <w:szCs w:val="32"/>
        </w:rPr>
        <w:t>违反本条例第十四条规定的，由有关主管部门依照法律、法规予以处罚；</w:t>
      </w:r>
      <w:r>
        <w:rPr>
          <w:rFonts w:ascii="仿宋" w:eastAsia="仿宋" w:hAnsi="仿宋" w:cs="仿宋" w:hint="eastAsia"/>
          <w:sz w:val="32"/>
          <w:szCs w:val="32"/>
        </w:rPr>
        <w:t>给他人造成损害的，依法承担民事责任；构成犯罪的，依法追究其刑事责任。</w:t>
      </w:r>
    </w:p>
    <w:p w:rsidR="00C55A15" w:rsidRDefault="000E0703">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第二十一条</w:t>
      </w:r>
      <w:r>
        <w:rPr>
          <w:rFonts w:ascii="仿宋" w:eastAsia="仿宋" w:hAnsi="仿宋" w:cs="仿宋" w:hint="eastAsia"/>
          <w:sz w:val="32"/>
          <w:szCs w:val="32"/>
        </w:rPr>
        <w:t xml:space="preserve">  </w:t>
      </w:r>
      <w:r>
        <w:rPr>
          <w:rFonts w:ascii="仿宋" w:eastAsia="仿宋" w:hAnsi="仿宋" w:cs="仿宋" w:hint="eastAsia"/>
          <w:sz w:val="32"/>
          <w:szCs w:val="32"/>
        </w:rPr>
        <w:t>科学技术行政部门、技术合同登记机构及其工作人员玩忽职守、滥用职权、收受贿赂、徇私舞弊的，由其所在单位或者上级主管部门给予行政处分；构成犯罪的，依法追究刑事责任。</w:t>
      </w:r>
    </w:p>
    <w:p w:rsidR="00C55A15" w:rsidRDefault="000E0703">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第二十二条</w:t>
      </w:r>
      <w:r>
        <w:rPr>
          <w:rFonts w:ascii="仿宋" w:eastAsia="仿宋" w:hAnsi="仿宋" w:cs="仿宋" w:hint="eastAsia"/>
          <w:sz w:val="32"/>
          <w:szCs w:val="32"/>
        </w:rPr>
        <w:t xml:space="preserve">  </w:t>
      </w:r>
      <w:r>
        <w:rPr>
          <w:rFonts w:ascii="仿宋" w:eastAsia="仿宋" w:hAnsi="仿宋" w:cs="仿宋" w:hint="eastAsia"/>
          <w:sz w:val="32"/>
          <w:szCs w:val="32"/>
        </w:rPr>
        <w:t>本条例自</w:t>
      </w:r>
      <w:r>
        <w:rPr>
          <w:rFonts w:ascii="仿宋" w:eastAsia="仿宋" w:hAnsi="仿宋" w:cs="仿宋" w:hint="eastAsia"/>
          <w:sz w:val="32"/>
          <w:szCs w:val="32"/>
        </w:rPr>
        <w:t>2006</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日起施行。</w:t>
      </w:r>
    </w:p>
    <w:sectPr w:rsidR="00C55A15">
      <w:footerReference w:type="default" r:id="rId8"/>
      <w:pgSz w:w="11906" w:h="16838"/>
      <w:pgMar w:top="2041" w:right="1531" w:bottom="2041" w:left="1531" w:header="720" w:footer="720" w:gutter="0"/>
      <w:cols w:space="72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703" w:rsidRDefault="000E0703">
      <w:r>
        <w:separator/>
      </w:r>
    </w:p>
  </w:endnote>
  <w:endnote w:type="continuationSeparator" w:id="0">
    <w:p w:rsidR="000E0703" w:rsidRDefault="000E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15" w:rsidRDefault="000E0703">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C55A15" w:rsidRDefault="000E0703">
                          <w:pPr>
                            <w:adjustRightInd w:val="0"/>
                            <w:snapToGrid w:val="0"/>
                            <w:spacing w:line="240" w:lineRule="atLeast"/>
                            <w:ind w:leftChars="200" w:left="420" w:rightChars="200" w:right="420"/>
                            <w:rPr>
                              <w:sz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976F9">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5oKZWsUBAABfAwAADgAAAAAAAAAAAAAAAAAuAgAA&#10;ZHJzL2Uyb0RvYy54bWxQSwECLQAUAAYACAAAACEADErw7tYAAAAFAQAADwAAAAAAAAAAAAAAAAAf&#10;BAAAZHJzL2Rvd25yZXYueG1sUEsFBgAAAAAEAAQA8wAAACIFAAAAAA==&#10;" filled="f" stroked="f">
              <v:textbox style="mso-fit-shape-to-text:t" inset="0,0,0,0">
                <w:txbxContent>
                  <w:p w:rsidR="00C55A15" w:rsidRDefault="000E0703">
                    <w:pPr>
                      <w:adjustRightInd w:val="0"/>
                      <w:snapToGrid w:val="0"/>
                      <w:spacing w:line="240" w:lineRule="atLeast"/>
                      <w:ind w:leftChars="200" w:left="420" w:rightChars="200" w:right="420"/>
                      <w:rPr>
                        <w:sz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976F9">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703" w:rsidRDefault="000E0703">
      <w:r>
        <w:separator/>
      </w:r>
    </w:p>
  </w:footnote>
  <w:footnote w:type="continuationSeparator" w:id="0">
    <w:p w:rsidR="000E0703" w:rsidRDefault="000E0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00E0703"/>
    <w:rsid w:val="004976F9"/>
    <w:rsid w:val="00C55A15"/>
    <w:rsid w:val="03101B00"/>
    <w:rsid w:val="06A224FA"/>
    <w:rsid w:val="096D37B7"/>
    <w:rsid w:val="11111476"/>
    <w:rsid w:val="11B33B52"/>
    <w:rsid w:val="15F50CD9"/>
    <w:rsid w:val="183D115D"/>
    <w:rsid w:val="1DAA7C70"/>
    <w:rsid w:val="23DE1942"/>
    <w:rsid w:val="26E729DF"/>
    <w:rsid w:val="2D0E3ADF"/>
    <w:rsid w:val="2D73303C"/>
    <w:rsid w:val="2FA31AAA"/>
    <w:rsid w:val="2FC8557C"/>
    <w:rsid w:val="32C21DA7"/>
    <w:rsid w:val="38BE615B"/>
    <w:rsid w:val="3F3418A9"/>
    <w:rsid w:val="4383125A"/>
    <w:rsid w:val="48072744"/>
    <w:rsid w:val="480F7B50"/>
    <w:rsid w:val="4EA77752"/>
    <w:rsid w:val="504135F2"/>
    <w:rsid w:val="52C81485"/>
    <w:rsid w:val="55694734"/>
    <w:rsid w:val="589502BE"/>
    <w:rsid w:val="5D645A25"/>
    <w:rsid w:val="5F7E0093"/>
    <w:rsid w:val="60423BFA"/>
    <w:rsid w:val="60C96326"/>
    <w:rsid w:val="67187CB0"/>
    <w:rsid w:val="6B863C80"/>
    <w:rsid w:val="6CEC328A"/>
    <w:rsid w:val="717376A1"/>
    <w:rsid w:val="744471EF"/>
    <w:rsid w:val="793D3E58"/>
    <w:rsid w:val="7C635EFB"/>
    <w:rsid w:val="7CFD4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spacing w:line="560" w:lineRule="exact"/>
      <w:jc w:val="center"/>
      <w:outlineLvl w:val="0"/>
    </w:pPr>
    <w:rPr>
      <w:rFonts w:eastAsia="黑体"/>
      <w:kern w:val="44"/>
      <w:sz w:val="32"/>
    </w:rPr>
  </w:style>
  <w:style w:type="paragraph" w:styleId="2">
    <w:name w:val="heading 2"/>
    <w:basedOn w:val="a"/>
    <w:next w:val="a"/>
    <w:unhideWhenUsed/>
    <w:qFormat/>
    <w:pPr>
      <w:keepNext/>
      <w:keepLines/>
      <w:spacing w:before="260" w:after="260" w:line="413" w:lineRule="auto"/>
      <w:jc w:val="center"/>
      <w:outlineLvl w:val="1"/>
    </w:pPr>
    <w:rPr>
      <w:rFonts w:ascii="Arial" w:hAnsi="Arial"/>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pPr>
      <w:spacing w:line="560" w:lineRule="exact"/>
      <w:ind w:firstLineChars="200" w:firstLine="640"/>
    </w:pPr>
    <w:rPr>
      <w:rFonts w:eastAsia="楷体"/>
      <w:sz w:val="32"/>
    </w:rPr>
  </w:style>
  <w:style w:type="paragraph" w:customStyle="1" w:styleId="000">
    <w:name w:val="题注000"/>
    <w:basedOn w:val="a"/>
    <w:qFormat/>
    <w:pPr>
      <w:spacing w:line="560" w:lineRule="exact"/>
      <w:ind w:leftChars="300" w:left="630" w:rightChars="300" w:right="630"/>
    </w:pPr>
    <w:rPr>
      <w:rFonts w:eastAsia="楷体"/>
      <w:sz w:val="32"/>
    </w:rPr>
  </w:style>
  <w:style w:type="paragraph" w:customStyle="1" w:styleId="0000">
    <w:name w:val="目录0000"/>
    <w:basedOn w:val="1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spacing w:line="560" w:lineRule="exact"/>
      <w:jc w:val="center"/>
      <w:outlineLvl w:val="0"/>
    </w:pPr>
    <w:rPr>
      <w:rFonts w:eastAsia="黑体"/>
      <w:kern w:val="44"/>
      <w:sz w:val="32"/>
    </w:rPr>
  </w:style>
  <w:style w:type="paragraph" w:styleId="2">
    <w:name w:val="heading 2"/>
    <w:basedOn w:val="a"/>
    <w:next w:val="a"/>
    <w:unhideWhenUsed/>
    <w:qFormat/>
    <w:pPr>
      <w:keepNext/>
      <w:keepLines/>
      <w:spacing w:before="260" w:after="260" w:line="413" w:lineRule="auto"/>
      <w:jc w:val="center"/>
      <w:outlineLvl w:val="1"/>
    </w:pPr>
    <w:rPr>
      <w:rFonts w:ascii="Arial" w:hAnsi="Arial"/>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pPr>
      <w:spacing w:line="560" w:lineRule="exact"/>
      <w:ind w:firstLineChars="200" w:firstLine="640"/>
    </w:pPr>
    <w:rPr>
      <w:rFonts w:eastAsia="楷体"/>
      <w:sz w:val="32"/>
    </w:rPr>
  </w:style>
  <w:style w:type="paragraph" w:customStyle="1" w:styleId="000">
    <w:name w:val="题注000"/>
    <w:basedOn w:val="a"/>
    <w:qFormat/>
    <w:pPr>
      <w:spacing w:line="560" w:lineRule="exact"/>
      <w:ind w:leftChars="300" w:left="630" w:rightChars="300" w:right="630"/>
    </w:pPr>
    <w:rPr>
      <w:rFonts w:eastAsia="楷体"/>
      <w:sz w:val="32"/>
    </w:rPr>
  </w:style>
  <w:style w:type="paragraph" w:customStyle="1" w:styleId="0000">
    <w:name w:val="目录0000"/>
    <w:basedOn w:val="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2017-02-10T06:41:00Z</dcterms:created>
  <dcterms:modified xsi:type="dcterms:W3CDTF">2019-06-05T13:56:00Z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