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default" w:ascii="Times New Roman" w:hAnsi="Times New Roman" w:eastAsia="宋体" w:cs="Times New Roman"/>
          <w:color w:val="auto"/>
          <w:sz w:val="32"/>
          <w:szCs w:val="32"/>
        </w:rPr>
      </w:pPr>
      <w:bookmarkStart w:id="0" w:name="_GoBack"/>
      <w:bookmarkEnd w:id="0"/>
    </w:p>
    <w:p>
      <w:pPr>
        <w:spacing w:line="300" w:lineRule="auto"/>
        <w:jc w:val="center"/>
        <w:rPr>
          <w:rFonts w:hint="default" w:ascii="Times New Roman" w:hAnsi="Times New Roman" w:eastAsia="宋体" w:cs="Times New Roman"/>
          <w:color w:val="auto"/>
          <w:sz w:val="32"/>
          <w:szCs w:val="32"/>
        </w:rPr>
      </w:pPr>
    </w:p>
    <w:p>
      <w:pPr>
        <w:spacing w:line="300" w:lineRule="auto"/>
        <w:jc w:val="center"/>
        <w:outlineLvl w:val="2"/>
        <w:rPr>
          <w:rFonts w:hint="eastAsia"/>
          <w:color w:val="auto"/>
          <w:sz w:val="44"/>
          <w:szCs w:val="44"/>
        </w:rPr>
      </w:pPr>
      <w:r>
        <w:rPr>
          <w:rFonts w:hint="eastAsia"/>
          <w:color w:val="auto"/>
          <w:sz w:val="44"/>
          <w:szCs w:val="44"/>
        </w:rPr>
        <w:t>汕头经济特区限制养犬规定</w:t>
      </w:r>
    </w:p>
    <w:p>
      <w:pPr>
        <w:spacing w:line="300" w:lineRule="auto"/>
        <w:jc w:val="center"/>
        <w:rPr>
          <w:rFonts w:hint="eastAsia" w:eastAsia="仿宋_GB2312"/>
          <w:color w:val="auto"/>
          <w:sz w:val="32"/>
          <w:szCs w:val="32"/>
        </w:rPr>
      </w:pPr>
    </w:p>
    <w:p>
      <w:pPr>
        <w:spacing w:line="300" w:lineRule="auto"/>
        <w:ind w:left="412" w:leftChars="200" w:right="412" w:rightChars="200"/>
        <w:rPr>
          <w:rFonts w:hint="eastAsia" w:eastAsia="楷体_GB2312"/>
          <w:color w:val="auto"/>
          <w:sz w:val="32"/>
          <w:szCs w:val="32"/>
        </w:rPr>
      </w:pPr>
      <w:r>
        <w:rPr>
          <w:rFonts w:hint="eastAsia" w:eastAsia="楷体_GB2312"/>
          <w:color w:val="auto"/>
          <w:sz w:val="32"/>
          <w:szCs w:val="32"/>
        </w:rPr>
        <w:t>（1997年1月14日汕头市第九届人民代表大会常务委员会第三十二次会议通过　根据2005年6月28日汕头市第十一届人民代表大会常务委员会第十五次会议《关于修改〈汕头经济特区限制养犬规定〉的决定》修正）</w:t>
      </w:r>
    </w:p>
    <w:p>
      <w:pPr>
        <w:spacing w:line="300" w:lineRule="auto"/>
        <w:jc w:val="center"/>
        <w:rPr>
          <w:rFonts w:hint="eastAsia" w:eastAsia="仿宋_GB2312"/>
          <w:color w:val="auto"/>
          <w:sz w:val="32"/>
          <w:szCs w:val="32"/>
        </w:rPr>
      </w:pP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第一条</w:t>
      </w:r>
      <w:r>
        <w:rPr>
          <w:rFonts w:hint="eastAsia" w:eastAsia="仿宋_GB2312"/>
          <w:color w:val="auto"/>
          <w:sz w:val="32"/>
          <w:szCs w:val="32"/>
        </w:rPr>
        <w:t>　为加强犬类管理，保障公民健康和人身安全，维护社会公共秩序和市容环境卫生，根据国家有关法律、法规的规定，结合汕头经济特区（以下简称特区）实际，制定本规定。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第二条</w:t>
      </w:r>
      <w:r>
        <w:rPr>
          <w:rFonts w:hint="eastAsia" w:eastAsia="仿宋_GB2312"/>
          <w:color w:val="auto"/>
          <w:sz w:val="32"/>
          <w:szCs w:val="32"/>
        </w:rPr>
        <w:t>　特区范围内的一切单位和个人，均须遵守本规定。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第三条</w:t>
      </w:r>
      <w:r>
        <w:rPr>
          <w:rFonts w:hint="eastAsia" w:eastAsia="仿宋_GB2312"/>
          <w:color w:val="auto"/>
          <w:sz w:val="32"/>
          <w:szCs w:val="32"/>
        </w:rPr>
        <w:t>　特区养犬管理工作遵循严格管理、总量控制的原则。</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第四条</w:t>
      </w:r>
      <w:r>
        <w:rPr>
          <w:rFonts w:hint="eastAsia" w:eastAsia="仿宋_GB2312"/>
          <w:color w:val="auto"/>
          <w:sz w:val="32"/>
          <w:szCs w:val="32"/>
        </w:rPr>
        <w:t>　市公安部门是特区限制养犬工作的主管部门，负责特区范围内限制养犬工作的监督管理。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各级卫生、畜牧、工商等行政管理部门按照职责分工，协助公安部门做好限制养犬管理工作。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第五条</w:t>
      </w:r>
      <w:r>
        <w:rPr>
          <w:rFonts w:hint="eastAsia" w:eastAsia="仿宋_GB2312"/>
          <w:color w:val="auto"/>
          <w:sz w:val="32"/>
          <w:szCs w:val="32"/>
        </w:rPr>
        <w:t>　机关、团体、部队、企业事业单位以及街道办事处和居（村）民委员会应当积极配合公安部门做好本规定的实施工作。</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第六条</w:t>
      </w:r>
      <w:r>
        <w:rPr>
          <w:rFonts w:hint="eastAsia" w:eastAsia="仿宋_GB2312"/>
          <w:color w:val="auto"/>
          <w:sz w:val="32"/>
          <w:szCs w:val="32"/>
        </w:rPr>
        <w:t>　金平区的</w:t>
      </w:r>
      <w:r>
        <w:rPr>
          <w:rFonts w:hint="eastAsia" w:ascii="宋体" w:hAnsi="宋体" w:cs="宋体"/>
          <w:color w:val="auto"/>
          <w:sz w:val="32"/>
          <w:szCs w:val="32"/>
        </w:rPr>
        <w:t>鮀</w:t>
      </w:r>
      <w:r>
        <w:rPr>
          <w:rFonts w:hint="eastAsia" w:ascii="仿宋_GB2312" w:hAnsi="仿宋_GB2312" w:eastAsia="仿宋_GB2312" w:cs="仿宋_GB2312"/>
          <w:color w:val="auto"/>
          <w:sz w:val="32"/>
          <w:szCs w:val="32"/>
        </w:rPr>
        <w:t>江、</w:t>
      </w:r>
      <w:r>
        <w:rPr>
          <w:rFonts w:hint="eastAsia" w:ascii="宋体" w:hAnsi="宋体" w:cs="宋体"/>
          <w:color w:val="auto"/>
          <w:sz w:val="32"/>
          <w:szCs w:val="32"/>
        </w:rPr>
        <w:t>鮀</w:t>
      </w:r>
      <w:r>
        <w:rPr>
          <w:rFonts w:hint="eastAsia" w:ascii="仿宋_GB2312" w:hAnsi="仿宋_GB2312" w:eastAsia="仿宋_GB2312" w:cs="仿宋_GB2312"/>
          <w:color w:val="auto"/>
          <w:sz w:val="32"/>
          <w:szCs w:val="32"/>
        </w:rPr>
        <w:t>莲、岐山、月浦街道，龙湖区的龙祥、鸥汀街道，濠江区的珠园、广澳、马</w:t>
      </w:r>
      <w:r>
        <w:rPr>
          <w:rFonts w:hint="eastAsia" w:ascii="宋体" w:hAnsi="宋体" w:cs="宋体"/>
          <w:color w:val="auto"/>
          <w:sz w:val="32"/>
          <w:szCs w:val="32"/>
        </w:rPr>
        <w:t>滘</w:t>
      </w:r>
      <w:r>
        <w:rPr>
          <w:rFonts w:hint="eastAsia" w:ascii="仿宋_GB2312" w:hAnsi="仿宋_GB2312" w:eastAsia="仿宋_GB2312" w:cs="仿宋_GB2312"/>
          <w:color w:val="auto"/>
          <w:sz w:val="32"/>
          <w:szCs w:val="32"/>
        </w:rPr>
        <w:t>、</w:t>
      </w:r>
      <w:r>
        <w:rPr>
          <w:rFonts w:hint="eastAsia" w:ascii="宋体" w:hAnsi="宋体" w:cs="宋体"/>
          <w:color w:val="auto"/>
          <w:sz w:val="32"/>
          <w:szCs w:val="32"/>
        </w:rPr>
        <w:t>礐</w:t>
      </w:r>
      <w:r>
        <w:rPr>
          <w:rFonts w:hint="eastAsia" w:ascii="仿宋_GB2312" w:hAnsi="仿宋_GB2312" w:eastAsia="仿宋_GB2312" w:cs="仿宋_GB2312"/>
          <w:color w:val="auto"/>
          <w:sz w:val="32"/>
          <w:szCs w:val="32"/>
        </w:rPr>
        <w:t>石、河浦、滨海、玉新街道为一般限制养犬区（以下简称一般限养区）；特区范围内除一般限养区以外的区域均为重点限制养犬区（以下简称重点限养区）。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第七条</w:t>
      </w:r>
      <w:r>
        <w:rPr>
          <w:rFonts w:hint="eastAsia" w:eastAsia="仿宋_GB2312"/>
          <w:color w:val="auto"/>
          <w:sz w:val="32"/>
          <w:szCs w:val="32"/>
        </w:rPr>
        <w:t>　重点限养区内禁止个人饲养烈性犬、大型犬；禁止从事犬类的养殖、销售和举办犬类展览。</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烈性犬、大型犬和小型玩赏犬的分类，由市公安部门会同畜牧部门确定并公告。</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第八条</w:t>
      </w:r>
      <w:r>
        <w:rPr>
          <w:rFonts w:hint="eastAsia" w:eastAsia="仿宋_GB2312"/>
          <w:color w:val="auto"/>
          <w:sz w:val="32"/>
          <w:szCs w:val="32"/>
        </w:rPr>
        <w:t>　特区实行养犬许可证制度。未经公安部门批准，任何单位和个人不得养犬。</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第九条</w:t>
      </w:r>
      <w:r>
        <w:rPr>
          <w:rFonts w:hint="eastAsia" w:eastAsia="仿宋_GB2312"/>
          <w:color w:val="auto"/>
          <w:sz w:val="32"/>
          <w:szCs w:val="32"/>
        </w:rPr>
        <w:t>　个人申请养犬，必须具备下列条件：</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（一）有特区常住户口或暂住户口；</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（二）具有完全民事行为能力；</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（三）有独立住宅单元、独户居住。</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第十条</w:t>
      </w:r>
      <w:r>
        <w:rPr>
          <w:rFonts w:hint="eastAsia" w:eastAsia="仿宋_GB2312"/>
          <w:color w:val="auto"/>
          <w:sz w:val="32"/>
          <w:szCs w:val="32"/>
        </w:rPr>
        <w:t>　用于专业表演、动物园观赏、安全保卫或科研、医疗实验需要的单位，可以申请养犬。</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第十一条</w:t>
      </w:r>
      <w:r>
        <w:rPr>
          <w:rFonts w:hint="eastAsia" w:eastAsia="仿宋_GB2312"/>
          <w:color w:val="auto"/>
          <w:sz w:val="32"/>
          <w:szCs w:val="32"/>
        </w:rPr>
        <w:t>　单位和个人申请养犬的，应持本单位或街道办事处出具的证明材料，向当地公安派出所提出书面申请，经该区公安分局批准后，报市公安局备案。公安部门应当自收到养犬申请书之日起十五日内，作出批准或不批准的决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香港、澳门、台湾同胞、华侨、外国人申请养犬，由市公安部门审核批准。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重点限养区个人申请养犬，每户限养一只。</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第十二条</w:t>
      </w:r>
      <w:r>
        <w:rPr>
          <w:rFonts w:hint="eastAsia" w:eastAsia="仿宋_GB2312"/>
          <w:color w:val="auto"/>
          <w:sz w:val="32"/>
          <w:szCs w:val="32"/>
        </w:rPr>
        <w:t>　经批准养犬的，必须携犬到居住地畜牧部门对犬进行健康检查，领取检疫和免疫证件后，到原批准机关办理养犬登记，领取《养犬许可证》和犬牌。</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《养犬许可证》每年审验一次。</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公安部门发放的重点限养区犬牌与一般限养区犬牌，应有明显区别。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第十三条</w:t>
      </w:r>
      <w:r>
        <w:rPr>
          <w:rFonts w:hint="eastAsia" w:eastAsia="仿宋_GB2312"/>
          <w:color w:val="auto"/>
          <w:sz w:val="32"/>
          <w:szCs w:val="32"/>
        </w:rPr>
        <w:t>　经批准的医疗、科研单位的实验用犬以及动物园观赏和专业团体表演用犬，免收登记费和年度审验费。</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第十四条</w:t>
      </w:r>
      <w:r>
        <w:rPr>
          <w:rFonts w:hint="eastAsia" w:eastAsia="仿宋_GB2312"/>
          <w:color w:val="auto"/>
          <w:sz w:val="32"/>
          <w:szCs w:val="32"/>
        </w:rPr>
        <w:t>　经批准养犬的，必须遵守下列规定：</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（一）在一般限养区登记的犬只，不得在重点限养区饲养；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（二）不得干扰他人的正常生活；</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（三）不得携犬进入机关、团体、企业事业单位和公共场所，执行安全保卫和专业团体表演用犬除外；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（四）不得携犬乘坐公共交通工具（小型出租车、人力车除外）；</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（五）小型玩赏犬出户时，应挂犬牌、束犬链，并由成年人牵领；</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（六）烈性犬、大型犬实行拴养或者圈养，不得出户；</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（七）即时清理犬只在户外排泄的粪便；</w:t>
      </w:r>
    </w:p>
    <w:p>
      <w:pPr>
        <w:spacing w:line="300" w:lineRule="auto"/>
        <w:ind w:firstLine="632" w:firstLineChars="200"/>
        <w:rPr>
          <w:rFonts w:hint="eastAsia" w:eastAsia="仿宋_GB2312"/>
          <w:color w:val="auto"/>
          <w:sz w:val="32"/>
          <w:szCs w:val="32"/>
        </w:rPr>
      </w:pPr>
      <w:r>
        <w:rPr>
          <w:rFonts w:hint="eastAsia" w:eastAsia="仿宋_GB2312"/>
          <w:color w:val="auto"/>
          <w:sz w:val="32"/>
          <w:szCs w:val="32"/>
        </w:rPr>
        <w:t>（八）定期送犬进行检疫和免疫。</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第十五条</w:t>
      </w:r>
      <w:r>
        <w:rPr>
          <w:rFonts w:hint="eastAsia" w:eastAsia="仿宋_GB2312"/>
          <w:color w:val="auto"/>
          <w:sz w:val="32"/>
          <w:szCs w:val="32"/>
        </w:rPr>
        <w:t>　从境外携带犬只进入特区，必须符合《中华人民共和国进出境动植物检疫法》的有关规定，并持有口岸动植物检疫机关签发的合格证书。</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第十六条</w:t>
      </w:r>
      <w:r>
        <w:rPr>
          <w:rFonts w:hint="eastAsia" w:eastAsia="仿宋_GB2312"/>
          <w:color w:val="auto"/>
          <w:sz w:val="32"/>
          <w:szCs w:val="32"/>
        </w:rPr>
        <w:t>　在一般限养区从事犬类养殖、销售或举办犬类展览以及开办犬类诊疗所，必须经市公安部门会同畜牧部门批准，并依法办理工商行政管理登记，领取营业执照后，方可营业。</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第十七条</w:t>
      </w:r>
      <w:r>
        <w:rPr>
          <w:rFonts w:hint="eastAsia" w:eastAsia="仿宋_GB2312"/>
          <w:color w:val="auto"/>
          <w:sz w:val="32"/>
          <w:szCs w:val="32"/>
        </w:rPr>
        <w:t>　犬只伤害他人时，养犬人应当立即将受害人送至医疗卫生部门诊治，注射狂犬病疫苗，并承担民事责任；对伤人犬应当及时送交有关部门检查，发现狂犬立即捕杀。</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第十八条</w:t>
      </w:r>
      <w:r>
        <w:rPr>
          <w:rFonts w:hint="eastAsia" w:eastAsia="仿宋_GB2312"/>
          <w:color w:val="auto"/>
          <w:sz w:val="32"/>
          <w:szCs w:val="32"/>
        </w:rPr>
        <w:t>　对遗弃、走失和被没收的犬只，由公安部门统一处理。</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第十九条</w:t>
      </w:r>
      <w:r>
        <w:rPr>
          <w:rFonts w:hint="eastAsia" w:eastAsia="仿宋_GB2312"/>
          <w:color w:val="auto"/>
          <w:sz w:val="32"/>
          <w:szCs w:val="32"/>
        </w:rPr>
        <w:t>　违反本规定第八条，未取得《养犬许可证》擅自饲养犬只的，由公安部门没收犬只，对重点限养区养犬的，处以一万元罚款；对一般限养区养犬的，处以三千元罚款。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第二十条</w:t>
      </w:r>
      <w:r>
        <w:rPr>
          <w:rFonts w:hint="eastAsia" w:eastAsia="仿宋_GB2312"/>
          <w:color w:val="auto"/>
          <w:sz w:val="32"/>
          <w:szCs w:val="32"/>
        </w:rPr>
        <w:t>　违反本规定第十四条的，由公安部门处以二百元至二千元罚款；情节严重的，没收其犬只，并吊销《养犬许可证》。</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第二十一条</w:t>
      </w:r>
      <w:r>
        <w:rPr>
          <w:rFonts w:hint="eastAsia" w:eastAsia="仿宋_GB2312"/>
          <w:color w:val="auto"/>
          <w:sz w:val="32"/>
          <w:szCs w:val="32"/>
        </w:rPr>
        <w:t>　违反本规定第十六条，未经批准擅自从事犬类养殖、销售或举办犬类展览以及开办犬类诊疗所的，由公安部门予以取缔，没收其犬只和非法所得，并处以五千元至一万元罚款。</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第二十二条</w:t>
      </w:r>
      <w:r>
        <w:rPr>
          <w:rFonts w:hint="eastAsia" w:eastAsia="仿宋_GB2312"/>
          <w:color w:val="auto"/>
          <w:sz w:val="32"/>
          <w:szCs w:val="32"/>
        </w:rPr>
        <w:t>　当事人对行政处罚决定不服的，可以依法申请行政复议或提起行政诉讼；逾期不申请复议、不起诉又不履行处罚决定的，由作出处罚决定的机关申请人民法院强制执行。</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第二十三条</w:t>
      </w:r>
      <w:r>
        <w:rPr>
          <w:rFonts w:hint="eastAsia" w:eastAsia="仿宋_GB2312"/>
          <w:color w:val="auto"/>
          <w:sz w:val="32"/>
          <w:szCs w:val="32"/>
        </w:rPr>
        <w:t>　执法人员玩忽职守、徇私舞弊，不依法履行职责或者滥用职权的，由其所在单位或上级主管部门给予行政处分；构成犯罪的，由司法机关依法追究其刑事责任。</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第二十四条</w:t>
      </w:r>
      <w:r>
        <w:rPr>
          <w:rFonts w:hint="eastAsia" w:eastAsia="仿宋_GB2312"/>
          <w:color w:val="auto"/>
          <w:sz w:val="32"/>
          <w:szCs w:val="32"/>
        </w:rPr>
        <w:t>　公民对违反本规定的行为有权向公安部门举报。公安部门应及时受理，为举报人保密。经查证属实的，按罚款额的百分之二十奖励举报人。</w:t>
      </w:r>
    </w:p>
    <w:p>
      <w:pPr>
        <w:spacing w:line="300" w:lineRule="auto"/>
        <w:ind w:firstLine="632" w:firstLineChars="200"/>
        <w:rPr>
          <w:rFonts w:hint="eastAsia" w:eastAsia="仿宋_GB2312"/>
          <w:color w:val="auto"/>
          <w:sz w:val="32"/>
          <w:szCs w:val="32"/>
        </w:rPr>
      </w:pPr>
      <w:r>
        <w:rPr>
          <w:rFonts w:hint="eastAsia" w:eastAsia="黑体"/>
          <w:color w:val="auto"/>
          <w:sz w:val="32"/>
          <w:szCs w:val="32"/>
        </w:rPr>
        <w:t>第二十五条</w:t>
      </w:r>
      <w:r>
        <w:rPr>
          <w:rFonts w:hint="eastAsia" w:eastAsia="仿宋_GB2312"/>
          <w:color w:val="auto"/>
          <w:sz w:val="32"/>
          <w:szCs w:val="32"/>
        </w:rPr>
        <w:t>　本规定自1997年3月1日起施行。</w:t>
      </w:r>
    </w:p>
    <w:p>
      <w:pPr>
        <w:spacing w:line="300" w:lineRule="auto"/>
        <w:ind w:firstLine="632" w:firstLineChars="200"/>
        <w:rPr>
          <w:rFonts w:hint="eastAsia" w:eastAsia="仿宋_GB2312"/>
          <w:color w:val="auto"/>
          <w:sz w:val="32"/>
          <w:szCs w:val="32"/>
        </w:rPr>
      </w:pPr>
    </w:p>
    <w:p>
      <w:pPr>
        <w:spacing w:line="300" w:lineRule="auto"/>
        <w:ind w:firstLine="632" w:firstLineChars="200"/>
        <w:rPr>
          <w:rFonts w:hint="eastAsia" w:eastAsia="仿宋_GB2312"/>
          <w:color w:val="auto"/>
          <w:sz w:val="32"/>
          <w:szCs w:val="32"/>
        </w:rPr>
      </w:pPr>
    </w:p>
    <w:sectPr>
      <w:footerReference r:id="rId3" w:type="default"/>
      <w:footerReference r:id="rId4" w:type="even"/>
      <w:pgSz w:w="11906" w:h="16838"/>
      <w:pgMar w:top="2041" w:right="1531" w:bottom="2041" w:left="1531" w:header="851" w:footer="1587" w:gutter="0"/>
      <w:paperSrc/>
      <w:pgNumType w:fmt="numberInDash"/>
      <w:cols w:space="720" w:num="1"/>
      <w:rtlGutter w:val="0"/>
      <w:docGrid w:type="linesAndChars" w:linePitch="455"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_x000B__x000C_">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EDlfU8YBAABsAwAADgAAAAAAAAABACAAAAAiAQAAZHJzL2Uyb0Rv&#10;Yy54bWxQSwUGAAAAAAYABgBZAQAAWgUAAAAA&#10;">
              <v:fill on="f" focussize="0,0"/>
              <v:stroke on="f" weight="1.2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color w:val="000080"/>
      </w:rPr>
    </w:pPr>
    <w:r>
      <w:rPr>
        <w:color w:val="000080"/>
      </w:rPr>
      <w:fldChar w:fldCharType="begin"/>
    </w:r>
    <w:r>
      <w:rPr>
        <w:rStyle w:val="18"/>
        <w:color w:val="000080"/>
      </w:rPr>
      <w:instrText xml:space="preserve">PAGE  </w:instrText>
    </w:r>
    <w:r>
      <w:rPr>
        <w:color w:val="000080"/>
      </w:rPr>
      <w:fldChar w:fldCharType="separate"/>
    </w:r>
    <w:r>
      <w:rPr>
        <w:rStyle w:val="18"/>
        <w:color w:val="000080"/>
        <w:lang/>
      </w:rPr>
      <w:t>1619</w:t>
    </w:r>
    <w:r>
      <w:rPr>
        <w:color w:val="000080"/>
      </w:rPr>
      <w:fldChar w:fldCharType="end"/>
    </w:r>
  </w:p>
  <w:p>
    <w:pPr>
      <w:pStyle w:val="10"/>
      <w:ind w:right="360" w:firstLine="360"/>
      <w:rPr>
        <w:color w:val="00008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0"/>
  <w:hyphenationZone w:val="360"/>
  <w:drawingGridHorizontalSpacing w:val="103"/>
  <w:drawingGridVerticalSpacing w:val="228"/>
  <w:displayHorizontalDrawingGridEvery w:val="2"/>
  <w:displayVerticalDrawingGridEvery w:val="2"/>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08CC"/>
    <w:rsid w:val="00004FAE"/>
    <w:rsid w:val="00023782"/>
    <w:rsid w:val="00026ACE"/>
    <w:rsid w:val="000376BE"/>
    <w:rsid w:val="0004601D"/>
    <w:rsid w:val="0006016F"/>
    <w:rsid w:val="00086A34"/>
    <w:rsid w:val="00096834"/>
    <w:rsid w:val="000A69B1"/>
    <w:rsid w:val="000B4EAD"/>
    <w:rsid w:val="000E378B"/>
    <w:rsid w:val="000F4EF2"/>
    <w:rsid w:val="00100222"/>
    <w:rsid w:val="001049A5"/>
    <w:rsid w:val="00107D5C"/>
    <w:rsid w:val="00111A63"/>
    <w:rsid w:val="001154C2"/>
    <w:rsid w:val="00121C2F"/>
    <w:rsid w:val="00125260"/>
    <w:rsid w:val="00132242"/>
    <w:rsid w:val="00142FA9"/>
    <w:rsid w:val="00145E3C"/>
    <w:rsid w:val="00146397"/>
    <w:rsid w:val="00156BEC"/>
    <w:rsid w:val="001604B8"/>
    <w:rsid w:val="00184EB8"/>
    <w:rsid w:val="001A2361"/>
    <w:rsid w:val="001A26D8"/>
    <w:rsid w:val="001A7497"/>
    <w:rsid w:val="001D2262"/>
    <w:rsid w:val="001E1616"/>
    <w:rsid w:val="001F07C7"/>
    <w:rsid w:val="001F436E"/>
    <w:rsid w:val="00201FB6"/>
    <w:rsid w:val="0022531A"/>
    <w:rsid w:val="0023335A"/>
    <w:rsid w:val="002347B4"/>
    <w:rsid w:val="0023549C"/>
    <w:rsid w:val="00236C12"/>
    <w:rsid w:val="00243420"/>
    <w:rsid w:val="002436C7"/>
    <w:rsid w:val="002439AD"/>
    <w:rsid w:val="002458FD"/>
    <w:rsid w:val="00247B48"/>
    <w:rsid w:val="00257682"/>
    <w:rsid w:val="00261B8A"/>
    <w:rsid w:val="002726C5"/>
    <w:rsid w:val="00272D7A"/>
    <w:rsid w:val="00277E63"/>
    <w:rsid w:val="00280057"/>
    <w:rsid w:val="002807C9"/>
    <w:rsid w:val="0028182B"/>
    <w:rsid w:val="00292B0D"/>
    <w:rsid w:val="0029391B"/>
    <w:rsid w:val="0029460B"/>
    <w:rsid w:val="002A0BEC"/>
    <w:rsid w:val="002C4979"/>
    <w:rsid w:val="002C568F"/>
    <w:rsid w:val="002F6904"/>
    <w:rsid w:val="00300863"/>
    <w:rsid w:val="00301B94"/>
    <w:rsid w:val="003121F7"/>
    <w:rsid w:val="00314754"/>
    <w:rsid w:val="00321D34"/>
    <w:rsid w:val="00326C4C"/>
    <w:rsid w:val="0033422E"/>
    <w:rsid w:val="00355A13"/>
    <w:rsid w:val="00361786"/>
    <w:rsid w:val="003722EB"/>
    <w:rsid w:val="003742CB"/>
    <w:rsid w:val="003751A5"/>
    <w:rsid w:val="00377E03"/>
    <w:rsid w:val="003B5D91"/>
    <w:rsid w:val="003B66F8"/>
    <w:rsid w:val="003D0AA9"/>
    <w:rsid w:val="003F53C2"/>
    <w:rsid w:val="0040032A"/>
    <w:rsid w:val="00405F60"/>
    <w:rsid w:val="00413CB6"/>
    <w:rsid w:val="00450FA3"/>
    <w:rsid w:val="0045703B"/>
    <w:rsid w:val="004613F8"/>
    <w:rsid w:val="00463182"/>
    <w:rsid w:val="0047028C"/>
    <w:rsid w:val="004735F6"/>
    <w:rsid w:val="00475D6E"/>
    <w:rsid w:val="00477A32"/>
    <w:rsid w:val="00490A77"/>
    <w:rsid w:val="0049427E"/>
    <w:rsid w:val="00495C24"/>
    <w:rsid w:val="004A7D6F"/>
    <w:rsid w:val="004B3242"/>
    <w:rsid w:val="004B493C"/>
    <w:rsid w:val="004C78B5"/>
    <w:rsid w:val="004D2A26"/>
    <w:rsid w:val="004E059F"/>
    <w:rsid w:val="004E6F60"/>
    <w:rsid w:val="005108F6"/>
    <w:rsid w:val="00510F0A"/>
    <w:rsid w:val="00515A3B"/>
    <w:rsid w:val="005221DD"/>
    <w:rsid w:val="00526E56"/>
    <w:rsid w:val="00535859"/>
    <w:rsid w:val="00541263"/>
    <w:rsid w:val="00546BA9"/>
    <w:rsid w:val="00554D98"/>
    <w:rsid w:val="0056107A"/>
    <w:rsid w:val="005709A1"/>
    <w:rsid w:val="0057739E"/>
    <w:rsid w:val="00580CBE"/>
    <w:rsid w:val="005853D2"/>
    <w:rsid w:val="00591897"/>
    <w:rsid w:val="00594E98"/>
    <w:rsid w:val="005A7956"/>
    <w:rsid w:val="005C77A5"/>
    <w:rsid w:val="005F2E0A"/>
    <w:rsid w:val="005F4A7F"/>
    <w:rsid w:val="005F4A9D"/>
    <w:rsid w:val="00601090"/>
    <w:rsid w:val="0061348B"/>
    <w:rsid w:val="00613EA2"/>
    <w:rsid w:val="00617792"/>
    <w:rsid w:val="00623B2F"/>
    <w:rsid w:val="006269EF"/>
    <w:rsid w:val="00640D0C"/>
    <w:rsid w:val="006560D1"/>
    <w:rsid w:val="0065716D"/>
    <w:rsid w:val="00676FAC"/>
    <w:rsid w:val="006770D4"/>
    <w:rsid w:val="006813F1"/>
    <w:rsid w:val="006824FB"/>
    <w:rsid w:val="00687AD8"/>
    <w:rsid w:val="006A1F81"/>
    <w:rsid w:val="006A6BCA"/>
    <w:rsid w:val="006B6A66"/>
    <w:rsid w:val="006C436A"/>
    <w:rsid w:val="006D3623"/>
    <w:rsid w:val="006E0926"/>
    <w:rsid w:val="006F4318"/>
    <w:rsid w:val="006F6DED"/>
    <w:rsid w:val="007111F6"/>
    <w:rsid w:val="00713067"/>
    <w:rsid w:val="00734252"/>
    <w:rsid w:val="007351C0"/>
    <w:rsid w:val="0074039C"/>
    <w:rsid w:val="0074083C"/>
    <w:rsid w:val="0074151C"/>
    <w:rsid w:val="00755ABD"/>
    <w:rsid w:val="00757550"/>
    <w:rsid w:val="00780DBC"/>
    <w:rsid w:val="00783936"/>
    <w:rsid w:val="00795EDE"/>
    <w:rsid w:val="007A6D7E"/>
    <w:rsid w:val="007B4954"/>
    <w:rsid w:val="007B6AF8"/>
    <w:rsid w:val="007C1817"/>
    <w:rsid w:val="007C2A26"/>
    <w:rsid w:val="007D5098"/>
    <w:rsid w:val="007E1A1C"/>
    <w:rsid w:val="007F316F"/>
    <w:rsid w:val="00802ABB"/>
    <w:rsid w:val="00821999"/>
    <w:rsid w:val="00825F90"/>
    <w:rsid w:val="00834D10"/>
    <w:rsid w:val="0084128F"/>
    <w:rsid w:val="0085016C"/>
    <w:rsid w:val="0086496F"/>
    <w:rsid w:val="00864BB3"/>
    <w:rsid w:val="0088128E"/>
    <w:rsid w:val="0088724E"/>
    <w:rsid w:val="00887797"/>
    <w:rsid w:val="00891E9A"/>
    <w:rsid w:val="0089615C"/>
    <w:rsid w:val="008A148D"/>
    <w:rsid w:val="008A4AEC"/>
    <w:rsid w:val="008A7CEE"/>
    <w:rsid w:val="008B06AD"/>
    <w:rsid w:val="008B7EBF"/>
    <w:rsid w:val="008C2981"/>
    <w:rsid w:val="008D0C93"/>
    <w:rsid w:val="008D4FD2"/>
    <w:rsid w:val="008E4E3D"/>
    <w:rsid w:val="008E68B1"/>
    <w:rsid w:val="008E6FA7"/>
    <w:rsid w:val="00903A70"/>
    <w:rsid w:val="00911D8E"/>
    <w:rsid w:val="0092003B"/>
    <w:rsid w:val="009259D6"/>
    <w:rsid w:val="00945BC2"/>
    <w:rsid w:val="00946CC7"/>
    <w:rsid w:val="00957CFE"/>
    <w:rsid w:val="00960450"/>
    <w:rsid w:val="00967A95"/>
    <w:rsid w:val="009730EA"/>
    <w:rsid w:val="00974BD1"/>
    <w:rsid w:val="00976062"/>
    <w:rsid w:val="00982DF5"/>
    <w:rsid w:val="00992DF3"/>
    <w:rsid w:val="00993DA2"/>
    <w:rsid w:val="00994477"/>
    <w:rsid w:val="0099777C"/>
    <w:rsid w:val="009B2D7A"/>
    <w:rsid w:val="009D062A"/>
    <w:rsid w:val="009D7A15"/>
    <w:rsid w:val="00A16C47"/>
    <w:rsid w:val="00A24959"/>
    <w:rsid w:val="00A27CAB"/>
    <w:rsid w:val="00A43475"/>
    <w:rsid w:val="00A503D0"/>
    <w:rsid w:val="00A51519"/>
    <w:rsid w:val="00A535B2"/>
    <w:rsid w:val="00A6609B"/>
    <w:rsid w:val="00A6728E"/>
    <w:rsid w:val="00A67542"/>
    <w:rsid w:val="00A67F42"/>
    <w:rsid w:val="00A9628D"/>
    <w:rsid w:val="00AA37C7"/>
    <w:rsid w:val="00AB13F3"/>
    <w:rsid w:val="00AC53BE"/>
    <w:rsid w:val="00AD571C"/>
    <w:rsid w:val="00AE0250"/>
    <w:rsid w:val="00AE4253"/>
    <w:rsid w:val="00AE53DE"/>
    <w:rsid w:val="00AE6F62"/>
    <w:rsid w:val="00AF3926"/>
    <w:rsid w:val="00AF3EF5"/>
    <w:rsid w:val="00AF6EE8"/>
    <w:rsid w:val="00B14D5A"/>
    <w:rsid w:val="00B20B1C"/>
    <w:rsid w:val="00B229C2"/>
    <w:rsid w:val="00B42FF3"/>
    <w:rsid w:val="00B458DE"/>
    <w:rsid w:val="00B473DB"/>
    <w:rsid w:val="00B5151E"/>
    <w:rsid w:val="00B5278F"/>
    <w:rsid w:val="00B53767"/>
    <w:rsid w:val="00B54C76"/>
    <w:rsid w:val="00B6153F"/>
    <w:rsid w:val="00B6406A"/>
    <w:rsid w:val="00B74908"/>
    <w:rsid w:val="00B74E59"/>
    <w:rsid w:val="00B80CEC"/>
    <w:rsid w:val="00B84247"/>
    <w:rsid w:val="00B92F11"/>
    <w:rsid w:val="00B9636E"/>
    <w:rsid w:val="00BA7579"/>
    <w:rsid w:val="00BD3BAC"/>
    <w:rsid w:val="00BF28E8"/>
    <w:rsid w:val="00BF2FB8"/>
    <w:rsid w:val="00BF6D1A"/>
    <w:rsid w:val="00C01315"/>
    <w:rsid w:val="00C019D3"/>
    <w:rsid w:val="00C278BB"/>
    <w:rsid w:val="00C40D30"/>
    <w:rsid w:val="00C44E21"/>
    <w:rsid w:val="00C45709"/>
    <w:rsid w:val="00C5605C"/>
    <w:rsid w:val="00C57209"/>
    <w:rsid w:val="00C623CD"/>
    <w:rsid w:val="00C735C3"/>
    <w:rsid w:val="00C76109"/>
    <w:rsid w:val="00C82CD8"/>
    <w:rsid w:val="00C82E72"/>
    <w:rsid w:val="00C9209E"/>
    <w:rsid w:val="00CA62AA"/>
    <w:rsid w:val="00CD5A82"/>
    <w:rsid w:val="00CD5ED0"/>
    <w:rsid w:val="00CE365D"/>
    <w:rsid w:val="00CE4055"/>
    <w:rsid w:val="00CE5153"/>
    <w:rsid w:val="00CF0316"/>
    <w:rsid w:val="00CF1048"/>
    <w:rsid w:val="00D04022"/>
    <w:rsid w:val="00D10DA2"/>
    <w:rsid w:val="00D1606A"/>
    <w:rsid w:val="00D30C62"/>
    <w:rsid w:val="00D40239"/>
    <w:rsid w:val="00D6391B"/>
    <w:rsid w:val="00D719F9"/>
    <w:rsid w:val="00D74034"/>
    <w:rsid w:val="00D93428"/>
    <w:rsid w:val="00DB137B"/>
    <w:rsid w:val="00DD5E3B"/>
    <w:rsid w:val="00DD7BA7"/>
    <w:rsid w:val="00DD7D33"/>
    <w:rsid w:val="00E06E14"/>
    <w:rsid w:val="00E1061E"/>
    <w:rsid w:val="00E1612A"/>
    <w:rsid w:val="00E27AC6"/>
    <w:rsid w:val="00E41A07"/>
    <w:rsid w:val="00E437A8"/>
    <w:rsid w:val="00E46D2D"/>
    <w:rsid w:val="00E70515"/>
    <w:rsid w:val="00E713C0"/>
    <w:rsid w:val="00E7327C"/>
    <w:rsid w:val="00E80C03"/>
    <w:rsid w:val="00E91F6C"/>
    <w:rsid w:val="00E92A04"/>
    <w:rsid w:val="00EA0BAE"/>
    <w:rsid w:val="00EA3F19"/>
    <w:rsid w:val="00EB5893"/>
    <w:rsid w:val="00EC0B6E"/>
    <w:rsid w:val="00ED3D4D"/>
    <w:rsid w:val="00EE081B"/>
    <w:rsid w:val="00EE6E60"/>
    <w:rsid w:val="00EF50FE"/>
    <w:rsid w:val="00F048B5"/>
    <w:rsid w:val="00F05392"/>
    <w:rsid w:val="00F0628E"/>
    <w:rsid w:val="00F1282C"/>
    <w:rsid w:val="00F218FB"/>
    <w:rsid w:val="00F27CC2"/>
    <w:rsid w:val="00F42606"/>
    <w:rsid w:val="00F4282E"/>
    <w:rsid w:val="00F570C9"/>
    <w:rsid w:val="00F57185"/>
    <w:rsid w:val="00F61622"/>
    <w:rsid w:val="00F62002"/>
    <w:rsid w:val="00F62F3A"/>
    <w:rsid w:val="00F642FE"/>
    <w:rsid w:val="00F81C22"/>
    <w:rsid w:val="00F8469B"/>
    <w:rsid w:val="00F94926"/>
    <w:rsid w:val="00FA2470"/>
    <w:rsid w:val="00FB0A7B"/>
    <w:rsid w:val="00FB27C3"/>
    <w:rsid w:val="00FC25DD"/>
    <w:rsid w:val="00FC414D"/>
    <w:rsid w:val="00FE2C4C"/>
    <w:rsid w:val="00FE7298"/>
    <w:rsid w:val="0B651CD9"/>
    <w:rsid w:val="0E700FCE"/>
    <w:rsid w:val="10F90756"/>
    <w:rsid w:val="123A7D08"/>
    <w:rsid w:val="18E6560D"/>
    <w:rsid w:val="1E6D4108"/>
    <w:rsid w:val="21027608"/>
    <w:rsid w:val="220235E7"/>
    <w:rsid w:val="24470E8A"/>
    <w:rsid w:val="26560BEA"/>
    <w:rsid w:val="2A6D4DA5"/>
    <w:rsid w:val="36354074"/>
    <w:rsid w:val="3E3068D7"/>
    <w:rsid w:val="4AF838F1"/>
    <w:rsid w:val="4C295928"/>
    <w:rsid w:val="4C365501"/>
    <w:rsid w:val="4FB56A16"/>
    <w:rsid w:val="614340BC"/>
    <w:rsid w:val="65EB0FA6"/>
    <w:rsid w:val="6EEE129E"/>
    <w:rsid w:val="6FB21332"/>
    <w:rsid w:val="73401AF3"/>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6">
    <w:name w:val="Default Paragraph Font"/>
    <w:semiHidden/>
    <w:uiPriority w:val="0"/>
  </w:style>
  <w:style w:type="table" w:default="1" w:styleId="20">
    <w:name w:val="Normal Table"/>
    <w:semiHidden/>
    <w:uiPriority w:val="0"/>
    <w:tblPr>
      <w:tblStyle w:val="20"/>
      <w:tblLayout w:type="fixed"/>
      <w:tblCellMar>
        <w:top w:w="0" w:type="dxa"/>
        <w:left w:w="108" w:type="dxa"/>
        <w:bottom w:w="0" w:type="dxa"/>
        <w:right w:w="108" w:type="dxa"/>
      </w:tblCellMar>
    </w:tblPr>
    <w:tcPr>
      <w:textDirection w:val="lrTb"/>
    </w:tcPr>
  </w:style>
  <w:style w:type="paragraph" w:styleId="3">
    <w:name w:val="Document Map"/>
    <w:basedOn w:val="1"/>
    <w:semiHidden/>
    <w:uiPriority w:val="0"/>
    <w:pPr>
      <w:shd w:val="clear" w:color="auto" w:fill="000080"/>
    </w:pPr>
  </w:style>
  <w:style w:type="paragraph" w:styleId="4">
    <w:name w:val="Body Text"/>
    <w:basedOn w:val="1"/>
    <w:uiPriority w:val="0"/>
    <w:pPr>
      <w:jc w:val="center"/>
    </w:pPr>
    <w:rPr>
      <w:rFonts w:ascii="仿宋_GB2312"/>
      <w:sz w:val="44"/>
    </w:rPr>
  </w:style>
  <w:style w:type="paragraph" w:styleId="5">
    <w:name w:val="Body Text Indent"/>
    <w:basedOn w:val="1"/>
    <w:uiPriority w:val="0"/>
    <w:pPr>
      <w:ind w:firstLine="640" w:firstLineChars="200"/>
    </w:pPr>
    <w:rPr>
      <w:sz w:val="32"/>
    </w:rPr>
  </w:style>
  <w:style w:type="paragraph" w:styleId="6">
    <w:name w:val="Plain Text"/>
    <w:basedOn w:val="1"/>
    <w:uiPriority w:val="0"/>
    <w:rPr>
      <w:rFonts w:ascii="Courier New" w:hAnsi="Courier New" w:eastAsia="仿宋_GB2312"/>
      <w:szCs w:val="20"/>
    </w:rPr>
  </w:style>
  <w:style w:type="paragraph" w:styleId="7">
    <w:name w:val="Date"/>
    <w:basedOn w:val="1"/>
    <w:next w:val="1"/>
    <w:uiPriority w:val="0"/>
    <w:pPr>
      <w:ind w:left="100" w:leftChars="2500"/>
    </w:pPr>
  </w:style>
  <w:style w:type="paragraph" w:styleId="8">
    <w:name w:val="Body Text Indent 2"/>
    <w:basedOn w:val="1"/>
    <w:uiPriority w:val="0"/>
    <w:pPr>
      <w:spacing w:line="300" w:lineRule="auto"/>
      <w:ind w:firstLine="645"/>
    </w:pPr>
    <w:rPr>
      <w:rFonts w:ascii="仿宋_GB2312" w:eastAsia="仿宋_GB2312"/>
      <w:sz w:val="32"/>
      <w:szCs w:val="20"/>
    </w:rPr>
  </w:style>
  <w:style w:type="paragraph" w:styleId="9">
    <w:name w:val="Balloon Text"/>
    <w:basedOn w:val="1"/>
    <w:semiHidden/>
    <w:uiPriority w:val="0"/>
    <w:rPr>
      <w:sz w:val="18"/>
      <w:szCs w:val="18"/>
    </w:rPr>
  </w:style>
  <w:style w:type="paragraph" w:styleId="10">
    <w:name w:val="footer"/>
    <w:basedOn w:val="1"/>
    <w:uiPriority w:val="0"/>
    <w:pPr>
      <w:tabs>
        <w:tab w:val="center" w:pos="4153"/>
        <w:tab w:val="right" w:pos="8306"/>
      </w:tabs>
      <w:snapToGrid w:val="0"/>
      <w:jc w:val="left"/>
    </w:pPr>
    <w:rPr>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uiPriority w:val="0"/>
    <w:pPr>
      <w:ind w:firstLine="509"/>
    </w:pPr>
    <w:rPr>
      <w:rFonts w:ascii="仿宋_GB2312" w:eastAsia="仿宋_GB2312"/>
      <w:sz w:val="32"/>
    </w:rPr>
  </w:style>
  <w:style w:type="paragraph" w:styleId="13">
    <w:name w:val="Body Text 2"/>
    <w:basedOn w:val="1"/>
    <w:uiPriority w:val="0"/>
    <w:pPr>
      <w:ind w:right="-466" w:rightChars="-222"/>
      <w:jc w:val="center"/>
    </w:pPr>
    <w:rPr>
      <w:rFonts w:ascii="宋体"/>
      <w:sz w:val="44"/>
    </w:rPr>
  </w:style>
  <w:style w:type="paragraph" w:styleId="14">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character" w:styleId="17">
    <w:name w:val="Strong"/>
    <w:basedOn w:val="16"/>
    <w:qFormat/>
    <w:uiPriority w:val="0"/>
    <w:rPr>
      <w:b/>
      <w:bCs/>
    </w:rPr>
  </w:style>
  <w:style w:type="character" w:styleId="18">
    <w:name w:val="page number"/>
    <w:basedOn w:val="16"/>
    <w:uiPriority w:val="0"/>
  </w:style>
  <w:style w:type="character" w:styleId="19">
    <w:name w:val="Hyperlink"/>
    <w:basedOn w:val="16"/>
    <w:uiPriority w:val="0"/>
    <w:rPr>
      <w:color w:val="000000"/>
      <w:u w:val="none"/>
    </w:rPr>
  </w:style>
  <w:style w:type="paragraph" w:customStyle="1" w:styleId="21">
    <w:name w:val="Char Char"/>
    <w:basedOn w:val="1"/>
    <w:uiPriority w:val="0"/>
    <w:pPr>
      <w:tabs>
        <w:tab w:val="left" w:pos="842"/>
      </w:tabs>
      <w:ind w:firstLine="482"/>
    </w:pPr>
    <w:rPr>
      <w:sz w:val="24"/>
    </w:rPr>
  </w:style>
  <w:style w:type="paragraph" w:customStyle="1" w:styleId="22">
    <w:name w:val=" Char1 Char Char Char Char Char Char Char Char Char Char Char Char Char Char1 Char Char Char1 Char Char Char Char Char Char Char Char Char Char Char Char1 Char Char Char Char Char Char Char Char Char Char Char Char Char"/>
    <w:basedOn w:val="2"/>
    <w:uiPriority w:val="0"/>
    <w:pPr>
      <w:widowControl/>
      <w:snapToGrid w:val="0"/>
      <w:spacing w:before="240" w:beforeLines="0" w:after="240" w:afterLines="0" w:line="348" w:lineRule="auto"/>
      <w:ind w:firstLine="200" w:firstLineChars="200"/>
      <w:jc w:val="left"/>
    </w:pPr>
    <w:rPr>
      <w:rFonts w:ascii="Calibri" w:hAnsi="Calibri"/>
      <w:lang w:val="en-GB" w:eastAsia="en-GB"/>
    </w:rPr>
  </w:style>
  <w:style w:type="paragraph" w:customStyle="1" w:styleId="23">
    <w:name w:val="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4">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25">
    <w:name w:val=" Char Char Char Char Char Char Char Char Char Char Char Char Char Char Char Char Char Char Char"/>
    <w:basedOn w:val="1"/>
    <w:uiPriority w:val="0"/>
    <w:pPr>
      <w:widowControl/>
      <w:spacing w:after="160" w:afterLines="0" w:line="240" w:lineRule="exact"/>
      <w:jc w:val="left"/>
    </w:pPr>
    <w:rPr>
      <w:rFonts w:ascii="Verdana" w:hAnsi="Verdana"/>
      <w:kern w:val="0"/>
      <w:szCs w:val="20"/>
      <w:lang w:eastAsia="en-US"/>
    </w:rPr>
  </w:style>
  <w:style w:type="paragraph" w:customStyle="1" w:styleId="26">
    <w:name w:val="p0"/>
    <w:basedOn w:val="1"/>
    <w:uiPriority w:val="0"/>
    <w:pPr>
      <w:widowControl/>
    </w:pPr>
    <w:rPr>
      <w:kern w:val="0"/>
      <w:szCs w:val="21"/>
    </w:rPr>
  </w:style>
  <w:style w:type="paragraph" w:customStyle="1" w:styleId="27">
    <w:name w:val="font3"/>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28">
    <w:name w:val="Char1"/>
    <w:basedOn w:val="1"/>
    <w:uiPriority w:val="0"/>
    <w:pPr>
      <w:widowControl/>
      <w:spacing w:after="160" w:line="240" w:lineRule="exact"/>
      <w:jc w:val="left"/>
    </w:pPr>
    <w:rPr>
      <w:szCs w:val="20"/>
    </w:rPr>
  </w:style>
  <w:style w:type="paragraph" w:customStyle="1" w:styleId="29">
    <w:name w:val=" Char"/>
    <w:basedOn w:val="1"/>
    <w:uiPriority w:val="0"/>
    <w:rPr>
      <w:szCs w:val="21"/>
    </w:rPr>
  </w:style>
  <w:style w:type="paragraph" w:customStyle="1" w:styleId="30">
    <w:name w:val="Char"/>
    <w:basedOn w:val="1"/>
    <w:uiPriority w:val="0"/>
    <w:rPr>
      <w:szCs w:val="21"/>
    </w:rPr>
  </w:style>
  <w:style w:type="character" w:customStyle="1" w:styleId="31">
    <w:name w:val="b21"/>
    <w:basedOn w:val="16"/>
    <w:uiPriority w:val="0"/>
    <w:rPr>
      <w:rFonts w:hint="eastAsia" w:ascii="宋体" w:hAnsi="宋体" w:eastAsia="宋体"/>
      <w:color w:val="000000"/>
      <w:sz w:val="20"/>
      <w:szCs w:val="20"/>
    </w:rPr>
  </w:style>
  <w:style w:type="character" w:customStyle="1" w:styleId="32">
    <w:name w:val="postbody1"/>
    <w:basedOn w:val="16"/>
    <w:uiPriority w:val="0"/>
    <w:rPr>
      <w:sz w:val="21"/>
      <w:szCs w:val="21"/>
    </w:rPr>
  </w:style>
  <w:style w:type="character" w:customStyle="1" w:styleId="33">
    <w:name w:val="ggbody1"/>
    <w:basedOn w:val="16"/>
    <w:uiPriority w:val="0"/>
    <w:rPr>
      <w:rFonts w:hint="default" w:ascii="_x000B__x000C_" w:hAnsi="_x000B__x000C_"/>
      <w:sz w:val="21"/>
      <w:szCs w:val="21"/>
      <w:u w:val="none"/>
    </w:rPr>
  </w:style>
  <w:style w:type="character" w:customStyle="1" w:styleId="34">
    <w:name w:val="tiao"/>
    <w:basedOn w:val="1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http://www.strd.gov.cn</Company>
  <Pages>1</Pages>
  <Words>267139</Words>
  <Characters>1522698</Characters>
  <Lines>12689</Lines>
  <Paragraphs>3572</Paragraphs>
  <ScaleCrop>false</ScaleCrop>
  <LinksUpToDate>false</LinksUpToDate>
  <CharactersWithSpaces>1786265</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2016-08-02T02:55:00Z</dcterms:created>
  <dc:creator>天佑</dc:creator>
  <cp:lastModifiedBy>Administrator</cp:lastModifiedBy>
  <cp:lastPrinted>2015-06-29T13:45:00Z</cp:lastPrinted>
  <dcterms:modified xsi:type="dcterms:W3CDTF">2017-02-09T08:51:01Z</dcterms:modified>
  <dc:title>《汕头市法规大全》</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