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rPr>
      </w:pPr>
      <w:r>
        <w:rPr>
          <w:rFonts w:hint="eastAsia"/>
          <w:b w:val="0"/>
          <w:bCs w:val="0"/>
          <w:sz w:val="44"/>
          <w:szCs w:val="44"/>
        </w:rPr>
        <w:t>淄博市人民防空工程建设管理条例</w:t>
      </w:r>
      <w:r>
        <w:rPr>
          <w:rFonts w:hint="eastAsia"/>
          <w:b/>
          <w:bCs/>
          <w:sz w:val="44"/>
          <w:szCs w:val="44"/>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2004年4月21日淄博市第十二届人民代表大会常务委员会第八次会议通过  2004年5月27日山东省第十届人民代表大会常务委员会第八次会议批准</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总则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规划</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建设</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管理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法律责任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附则</w:t>
      </w:r>
    </w:p>
    <w:p>
      <w:pPr>
        <w:keepNext w:val="0"/>
        <w:keepLines w:val="0"/>
        <w:pageBreakBefore w:val="0"/>
        <w:widowControl w:val="0"/>
        <w:kinsoku/>
        <w:wordWrap/>
        <w:overflowPunct/>
        <w:topLinePunct w:val="0"/>
        <w:autoSpaceDE/>
        <w:autoSpaceDN/>
        <w:bidi w:val="0"/>
        <w:adjustRightInd/>
        <w:snapToGrid/>
        <w:spacing w:line="560" w:lineRule="exact"/>
        <w:ind w:left="840" w:leftChars="400" w:right="840" w:rightChars="40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第一章　总则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　</w:t>
      </w:r>
      <w:r>
        <w:rPr>
          <w:rFonts w:hint="eastAsia" w:ascii="仿宋_GB2312" w:hAnsi="仿宋_GB2312" w:eastAsia="仿宋_GB2312" w:cs="仿宋_GB2312"/>
          <w:sz w:val="32"/>
          <w:szCs w:val="32"/>
        </w:rPr>
        <w:t xml:space="preserve">为了加强人民防空工程（以下简称人防工程）的建设和管理，保护人民生命和财产安全，根据《中华人民共和国人民防空法》和《山东省实施＜中华人民共和国人民防空法＞办法》，结合本市实际，制定本条例。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本条例所称人防工程是指为保障战时人员与物资掩蔽、人民防空指挥、医疗救护等而单独修建的地下防护建筑，以及结合地面建筑修建的战时可用于防空的地下室（以下简称防空地下室）。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本市行政区域内人防工程的建设和管理适用本条例。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人防工程建设，应当遵循统一规划、量力而行、平战结合、质量第一的原则。坚持与城市建设相结合，坚持长远建设与应急建设相结合，坚持国家投资与社会筹资建设相结合。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市、区县人民政府应当将人防工程建设纳入国民经济和社会发展计划。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市、区县人民政府和同级军事机关领导本行政区域内的人民防空工作。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市人民防空主管部门统一负责本市行政区域内人防工程的建设和管理工作；区县人民防空主管部门负责本行政区域内人防工程的建设和管理工作。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计划、规划、建设、国土资源、财政、公安消防等部门，应当按照各自职责，做好人防工程建设管理的相关工作。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人防工程建设经费由人民政府和社会共同负担。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市、区县人民政府负担的人防工程建设经费应当列入地方各级预算。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社会负担的人防工程建设经费应当按照国家规定执行。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一切组织和个人都有得到人民防空保护的权利；都必须依法履行人民防空的义务。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建设和开发利用人防工程和设施，应当享受国家、主管大军区和省、市人民政府规定的优惠政策。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鼓励单位和个人投资建设、开发利用人防工程和设施。人防工程平时由投资者使用管理，收益归投资者所有。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对在人防工程建设和管理工作中做出显著成绩</w:t>
      </w:r>
      <w:r>
        <w:rPr>
          <w:rFonts w:hint="eastAsia" w:ascii="仿宋_GB2312" w:hAnsi="仿宋_GB2312" w:eastAsia="仿宋_GB2312" w:cs="仿宋_GB2312"/>
          <w:spacing w:val="-6"/>
          <w:sz w:val="32"/>
          <w:szCs w:val="32"/>
        </w:rPr>
        <w:t xml:space="preserve">的单位和个人，市、区县人民政府和同级军事机关给予表彰和奖励。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第二章　规划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人防工程建设规划应当纳入城市总体规划，并由市、县人民政府组织编制，按照法定程序报批。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人防工程建设规划应当包括下列内容：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（一）城市人防工程的总体规模、防护等级和配套布局；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（二）人防指挥通信、人员掩蔽、医疗救护、物资储备、防空专业队、疏散干道等工程的布局和规模；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（三）已建人防工程加固改造和平时利用方案；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（四）城市现有地下空间战时利用和改造方案；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（五）人防工程建设与城市地下空间开发相结合的主要方面和项目；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（六）其他应当规划的内容。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经依法批准的人防工程建设规划，任何单位和个人不得擅自改变。确需改变的，应当按照规定的程序报批。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市、区县人民防空主管部门应当依据人防工程建设规划，编制本级人防工程建设中长期计划，经本级人民政府发展计划主管部门审核，报上一级人民防空主管部门批准后实施。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第三章　建设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人防工程建设应当符合国家规定的建设程序、设计标准、防护标准和质量标准。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人防工程的设计、施工，必须由具有相应资质的单位承担。人防工程所需的专用设备，必须符合国家规定的标准。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城市供电、供水、供气、供热、通信、交通等公用基础设施及其重要物资储备工程、重要经济目标的规划和建设，应当注重开发利用地下空间，采取可靠的防护技术措施，增强防空抗毁能力。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城市地下交通干线、地下过街道、地下停车场及其他地下工程的建设应当兼顾人民防空需要。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人防工程建设分工和经费来源按下列规定执行：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（一）人民防空指挥工程，由人民防空主管部门组织修建，建设经费由本级人民政府预算安排；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（二）公用的人员掩蔽工程和疏散干道工程，由人民防空主管部门组织修建，建设经费由各级人民政府预算安排、国家预算补助和人民防空主管部门筹措解决；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（三）医疗救护、物资储备、重要经济目标和防空专业队防护等专用工程，由有关部门负责组织修建，建设经费列入基本建设投资计划；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（四）单位的人员、物资掩蔽工程，由单位负责组织修建，建设经费由单位自筹；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（五）防空地下室工程，由有关单位或者个人负责组织修建，建设经费由单位或者个人筹措。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城市规划区内的新建民用建筑，建设单位应当按照国家规定同步建设符合防护标准的防空地下室。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对应建防空地下室的民用建筑设计文件组织审核时，人民防空主管部门负责防空地下室的防护设计审核。未经审核批准，建设单位不得组织开工。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应当修建防空地下室的新建民用建筑，因地质、地形等原因不宜修建的，应当报人民防空主管部门批准，并按照规定缴纳易地建设费，由人民防空主管部门组织易地修建。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易地建设费和由社会负担的人民防空工程建设费的具体征收及使用管理办法，按照省人民政府的规定执行；在省人民政府的规定出台前，由市人民政府规定。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除国家和省规定的减免项目外，任何部门和个人不得批准减少应建防空地下室建筑面积和减免易地建设费，或者降低防空地下室防护标准。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建设单位和施工单位应当按照审核批准的防空地下室施工图设计文件和国家强制性标准的要求施工。因故确需变更设计的，应当经原设计文件批准部门批准。不按施工图设计文件和国家强制性标准的要求施工且无法整改的，按照本条例第二十一条的规定缴纳易地建设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人民防空主管部门应当依照规定对城市和经济目标的人民防空建设进行监督检查。被检查单位应当如实提供情况和必要的资料。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防空地下室竣工后，由人民防空主管部门按照《人防工程施工及验收规范》和《人民防空工程质量检验评定标准》的规定，实行备案审查，审查不合格的，不得投入使用。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城市规划区内新建民用建筑竣工验收备案时，应当具有人民防空主管部门核发的《防空地下室竣工验收备案意见书》或者《防空地下室易地建设审查备案意见书》。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规划、建设、国土资源等部门，应当依法保障人民防空工程出入口位置和相应的地面配套工程所需用地。其中单独修建的人防工程所需用地，依法予以划拨。经划拨的人防工程用地，未经批准，不得改作他用。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bookmarkStart w:id="0" w:name="_GoBack"/>
      <w:bookmarkEnd w:id="0"/>
      <w:r>
        <w:rPr>
          <w:rFonts w:hint="eastAsia" w:ascii="黑体" w:hAnsi="黑体" w:eastAsia="黑体" w:cs="黑体"/>
          <w:sz w:val="32"/>
          <w:szCs w:val="32"/>
        </w:rPr>
        <w:t xml:space="preserve">第四章　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人民防空主管部门和有关单位应当按照国家和省、市人民政府有关规定，对人防工程进行维护管理和监督检查，保证其处于正常状态。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公用人防工程的维护管理，由市、区县人民防空主管部门分级负责；单位和个人人防工程的维护管理，由单位和个人负责，并接受人民防空主管部门的监督检查和战时统一安排。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任何单位和个人不得实施下列行为：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（一）侵占人防工程；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（二）向人防工程内排放废水、废气和倾倒废弃物；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（三）在人防工程出入口设置障碍、堆放物品，妨碍人防工程维护、管理和使用；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（四）在单独修建的人防工程口部预留建筑物倒塌半径防护范围内新建、改建、扩建其他建筑物；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（五）未经批准，在单独修建的人防工程五十米范围内采石、取土、爆破、挖洞；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（六）改变人防工程主体结构、拆除人防工程设备设施或者其他危害人防工程安全和使用效能的行为；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（七）故意损坏人防设施或者在人防工程内生产或者储存易燃、易爆、剧毒、放射性和腐蚀性等危险品。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人防工程确需改造或者报废的，应当经市人民防空主管部门审核，并报原批准机关批准。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人防工程确需拆除的，应当经市人民防空主管部门审核，报原批准机关批准，并由拆除单位按照相同防护等级和建筑面积重建或者按照重置价格补偿。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第五章　法律责任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违反本条例第十九条规定的，由人民防空主管部门给予警告，责令限期修建，可以并处十万元以下罚款。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违反本条例第十六条第一款、第二十九条第（一）至（六）项规定的，由人民防空主管部门给予警告，责令限期改正，并对个人处一千元以上五千元以下的罚款，对单位处一万元以上五万元以下罚款；造成损失的，应当依法赔偿；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违反本条例第二十九条第（七）项规定，尚未构成犯罪的，由公安机关依法处理；构成犯罪的，依法追究刑事责任。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阻挠、妨碍人民防空主管部门工作人员依法执行公务的，由公安机关依法处理；构成犯罪的，依法追究刑事责任。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国家机关及其工作人员在人防工程的建设和管理工作中，有下列行为之一的，依法给予行政处分；造成损失的，依法承担赔偿责任；构成犯罪的，依法追究刑事责任：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（一）收取防空地下室易地建设费后，未按规定建设人防工程的；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（二）索取、收受贿赂的；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（三）截留、克扣、挪用、贪污人防工程建设资金的；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（四）玩忽职守、滥用职权、徇私舞弊、弄虚作假的。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当事人认为人民防空主管部门等行政机关的具体行政行为侵犯其合法权益的，可以依法申请行政复议或者提起行政诉讼。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本条例所称民用建筑，是指除工业生产厂房及配套设施以外的所有非生产性建筑。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本条例自2004年7月1日起施行。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pgSz w:w="11906" w:h="16838"/>
      <w:pgMar w:top="2098" w:right="1418" w:bottom="1928" w:left="1588" w:header="851" w:footer="1531"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C8AE0"/>
    <w:multiLevelType w:val="singleLevel"/>
    <w:tmpl w:val="587C8AE0"/>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F8A"/>
    <w:rsid w:val="00404F8A"/>
    <w:rsid w:val="0A0663A9"/>
    <w:rsid w:val="33B664EE"/>
    <w:rsid w:val="48156F80"/>
    <w:rsid w:val="577418C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China</Company>
  <Pages>1</Pages>
  <Words>577</Words>
  <Characters>3294</Characters>
  <Lines>27</Lines>
  <Paragraphs>7</Paragraphs>
  <ScaleCrop>false</ScaleCrop>
  <LinksUpToDate>false</LinksUpToDate>
  <CharactersWithSpaces>3864</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2016-12-19T05:48:00Z</dcterms:created>
  <dc:creator>User</dc:creator>
  <cp:lastModifiedBy>Administrator</cp:lastModifiedBy>
  <dcterms:modified xsi:type="dcterms:W3CDTF">2017-01-17T00:53:27Z</dcterms:modified>
  <dc:title>淄博市人民防空工程建设管理条例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