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sz w:val="44"/>
          <w:szCs w:val="44"/>
        </w:rPr>
      </w:pPr>
      <w:r>
        <w:rPr>
          <w:rFonts w:hint="eastAsia" w:ascii="宋体" w:hAnsi="宋体" w:eastAsia="宋体" w:cs="宋体"/>
          <w:sz w:val="44"/>
          <w:szCs w:val="44"/>
        </w:rPr>
        <w:t>辽宁省海洋渔业安全管理条例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p>
      <w:pPr>
        <w:pStyle w:val="7"/>
        <w:rPr>
          <w:rFonts w:hint="eastAsia"/>
        </w:rPr>
      </w:pPr>
      <w:r>
        <w:rPr>
          <w:rFonts w:hint="eastAsia"/>
        </w:rPr>
        <w:t>（2003年9月25日辽宁省第十届人民代表大会常务委员会第五次会议通过）</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目</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录</w:t>
      </w: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TOC \o "1-1" \n  \h \u </w:instrText>
      </w:r>
      <w:r>
        <w:rPr>
          <w:rFonts w:hint="eastAsia" w:ascii="楷体" w:hAnsi="楷体" w:eastAsia="楷体" w:cs="楷体"/>
          <w:sz w:val="32"/>
          <w:szCs w:val="32"/>
          <w:lang w:eastAsia="zh-CN"/>
        </w:rPr>
        <w:fldChar w:fldCharType="separate"/>
      </w:r>
      <w:r>
        <w:rPr>
          <w:rFonts w:hint="eastAsia"/>
          <w:lang w:eastAsia="zh-CN"/>
        </w:rPr>
        <w:fldChar w:fldCharType="begin"/>
      </w:r>
      <w:r>
        <w:rPr>
          <w:rFonts w:hint="eastAsia"/>
          <w:lang w:eastAsia="zh-CN"/>
        </w:rPr>
        <w:instrText xml:space="preserve"> HYPERLINK \l _Toc13572 </w:instrText>
      </w:r>
      <w:r>
        <w:rPr>
          <w:rFonts w:hint="eastAsia"/>
          <w:lang w:eastAsia="zh-CN"/>
        </w:rPr>
        <w:fldChar w:fldCharType="separate"/>
      </w:r>
      <w:r>
        <w:rPr>
          <w:rFonts w:hint="eastAsia"/>
        </w:rPr>
        <w:t>第一章  总　　</w:t>
      </w:r>
      <w:bookmarkStart w:id="7" w:name="_GoBack"/>
      <w:bookmarkEnd w:id="7"/>
      <w:r>
        <w:rPr>
          <w:rFonts w:hint="eastAsia"/>
        </w:rPr>
        <w:t>则</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_Toc2079 </w:instrText>
      </w:r>
      <w:r>
        <w:rPr>
          <w:rFonts w:hint="eastAsia"/>
          <w:lang w:eastAsia="zh-CN"/>
        </w:rPr>
        <w:fldChar w:fldCharType="separate"/>
      </w:r>
      <w:r>
        <w:rPr>
          <w:rFonts w:hint="eastAsia"/>
        </w:rPr>
        <w:t>第二章  海洋渔业作业安全管理</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_Toc19226 </w:instrText>
      </w:r>
      <w:r>
        <w:rPr>
          <w:rFonts w:hint="eastAsia"/>
          <w:lang w:eastAsia="zh-CN"/>
        </w:rPr>
        <w:fldChar w:fldCharType="separate"/>
      </w:r>
      <w:r>
        <w:rPr>
          <w:rFonts w:hint="eastAsia"/>
        </w:rPr>
        <w:t>第三章  渔业港口安全管理</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_Toc4016 </w:instrText>
      </w:r>
      <w:r>
        <w:rPr>
          <w:rFonts w:hint="eastAsia"/>
          <w:lang w:eastAsia="zh-CN"/>
        </w:rPr>
        <w:fldChar w:fldCharType="separate"/>
      </w:r>
      <w:r>
        <w:rPr>
          <w:rFonts w:hint="eastAsia"/>
        </w:rPr>
        <w:t>第四章  渔业船舶安全管理</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_Toc4620 </w:instrText>
      </w:r>
      <w:r>
        <w:rPr>
          <w:rFonts w:hint="eastAsia"/>
          <w:lang w:eastAsia="zh-CN"/>
        </w:rPr>
        <w:fldChar w:fldCharType="separate"/>
      </w:r>
      <w:r>
        <w:rPr>
          <w:rFonts w:hint="eastAsia"/>
        </w:rPr>
        <w:t>第五章  海上救助与事故处理</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_Toc28817 </w:instrText>
      </w:r>
      <w:r>
        <w:rPr>
          <w:rFonts w:hint="eastAsia"/>
          <w:lang w:eastAsia="zh-CN"/>
        </w:rPr>
        <w:fldChar w:fldCharType="separate"/>
      </w:r>
      <w:r>
        <w:rPr>
          <w:rFonts w:hint="eastAsia"/>
        </w:rPr>
        <w:t>第六章  法律责任</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_Toc25188 </w:instrText>
      </w:r>
      <w:r>
        <w:rPr>
          <w:rFonts w:hint="eastAsia"/>
          <w:lang w:eastAsia="zh-CN"/>
        </w:rPr>
        <w:fldChar w:fldCharType="separate"/>
      </w:r>
      <w:r>
        <w:rPr>
          <w:rFonts w:hint="eastAsia"/>
        </w:rPr>
        <w:t>第七章  附    则</w:t>
      </w:r>
      <w:r>
        <w:rPr>
          <w:rFonts w:hint="eastAsia"/>
          <w:lang w:eastAsia="zh-CN"/>
        </w:rPr>
        <w:fldChar w:fldCharType="end"/>
      </w: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r>
        <w:rPr>
          <w:rFonts w:hint="eastAsia" w:ascii="楷体" w:hAnsi="楷体" w:eastAsia="楷体" w:cs="楷体"/>
          <w:szCs w:val="32"/>
          <w:lang w:eastAsia="zh-CN"/>
        </w:rPr>
        <w:fldChar w:fldCharType="end"/>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0" w:name="_Toc13572"/>
      <w:r>
        <w:rPr>
          <w:rFonts w:hint="eastAsia"/>
        </w:rPr>
        <w:t>第一章  总　　  则</w:t>
      </w:r>
      <w:bookmarkEnd w:id="0"/>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第一条</w:t>
      </w:r>
      <w:r>
        <w:rPr>
          <w:rFonts w:hint="eastAsia" w:ascii="仿宋" w:hAnsi="仿宋" w:eastAsia="仿宋" w:cs="仿宋"/>
          <w:sz w:val="32"/>
          <w:szCs w:val="32"/>
        </w:rPr>
        <w:t xml:space="preserve"> 为了加强海洋渔业安全管理，保障渔民生命和财产安全，根据有关法律、法规，结合我省实际，制定本条例。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 xml:space="preserve"> 本条例适用于在我省海域从事渔业生产作业、航行、停泊以及其他与渔业生产相关活动的单位和个人。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第三条 </w:t>
      </w:r>
      <w:r>
        <w:rPr>
          <w:rFonts w:hint="eastAsia" w:ascii="仿宋" w:hAnsi="仿宋" w:eastAsia="仿宋" w:cs="仿宋"/>
          <w:sz w:val="32"/>
          <w:szCs w:val="32"/>
        </w:rPr>
        <w:t xml:space="preserve"> 海洋渔业安全管理，坚持安全第一、预防为主的方针。</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省及沿海市、县人民政府（含县级市、区，下同）应当加强对海洋渔业安全工作的领导，实行海洋渔业安全事故责任追究制度。</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沿海乡、镇人民政府（含街道办事处）应当采取有效措施，组织落实海洋渔业安全工作。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第四条</w:t>
      </w:r>
      <w:r>
        <w:rPr>
          <w:rFonts w:hint="eastAsia" w:ascii="仿宋" w:hAnsi="仿宋" w:eastAsia="仿宋" w:cs="仿宋"/>
          <w:sz w:val="32"/>
          <w:szCs w:val="32"/>
        </w:rPr>
        <w:t xml:space="preserve">  省及沿海市、县人民政府渔业行政主管部门主管本行政区域内海洋渔业安全管理工作，其所属的渔港监督机构具体负责海洋渔业安全监督管理工作。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安全生产监督管理部门及公安、边防等有关部门按照各自职责，依法做好有关海洋渔业安全工作。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第五条</w:t>
      </w:r>
      <w:r>
        <w:rPr>
          <w:rFonts w:hint="eastAsia" w:ascii="仿宋" w:hAnsi="仿宋" w:eastAsia="仿宋" w:cs="仿宋"/>
          <w:sz w:val="32"/>
          <w:szCs w:val="32"/>
        </w:rPr>
        <w:t xml:space="preserve">  省及沿海市、县人民政府应当对海洋渔业安全管理经费和救助资金予以保障。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第六条</w:t>
      </w:r>
      <w:r>
        <w:rPr>
          <w:rFonts w:hint="eastAsia" w:ascii="仿宋" w:hAnsi="仿宋" w:eastAsia="仿宋" w:cs="仿宋"/>
          <w:sz w:val="32"/>
          <w:szCs w:val="32"/>
        </w:rPr>
        <w:t xml:space="preserve">  渔业船舶所有人或者经营人对所属的渔业船舶、船员及设施安全全面负</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责，船长对本船及船员安全直接负责。</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第七条</w:t>
      </w:r>
      <w:r>
        <w:rPr>
          <w:rFonts w:hint="eastAsia" w:ascii="仿宋" w:hAnsi="仿宋" w:eastAsia="仿宋" w:cs="仿宋"/>
          <w:sz w:val="32"/>
          <w:szCs w:val="32"/>
        </w:rPr>
        <w:t xml:space="preserve">  任何单位和个人对违反海洋渔业安全管理法律法规的行为，都有权检举和投诉。渔业行政主管部门应当建立健全检举投诉受理制度。</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第八条</w:t>
      </w:r>
      <w:r>
        <w:rPr>
          <w:rFonts w:hint="eastAsia" w:ascii="仿宋" w:hAnsi="仿宋" w:eastAsia="仿宋" w:cs="仿宋"/>
          <w:sz w:val="32"/>
          <w:szCs w:val="32"/>
        </w:rPr>
        <w:t xml:space="preserve">  渔港监督机构执法人员执行公务时应当出示执法证件，被检查对象应当接受检查，如实提供有关情况和资料，不得逃避、抗拒检查。</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1" w:name="_Toc2079"/>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第二章  海洋渔业作业安全管理</w:t>
      </w:r>
      <w:bookmarkEnd w:id="1"/>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第九条 </w:t>
      </w:r>
      <w:r>
        <w:rPr>
          <w:rFonts w:hint="eastAsia" w:ascii="仿宋" w:hAnsi="仿宋" w:eastAsia="仿宋" w:cs="仿宋"/>
          <w:sz w:val="32"/>
          <w:szCs w:val="32"/>
        </w:rPr>
        <w:t xml:space="preserve"> 渔业船舶所有人或者经营人应当履行下列海洋渔业作业安全职责：</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（一）对渔业从业人员进行安全教育；</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（二）建立健全安全生产责任制；</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（三）组织实施国家有关安全规章制度和安全技术操作规程；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（四）督促、检查安全生产工作，及时消除事故隐患。</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第十条</w:t>
      </w:r>
      <w:r>
        <w:rPr>
          <w:rFonts w:hint="eastAsia" w:ascii="仿宋" w:hAnsi="仿宋" w:eastAsia="仿宋" w:cs="仿宋"/>
          <w:sz w:val="32"/>
          <w:szCs w:val="32"/>
        </w:rPr>
        <w:t xml:space="preserve">  渔业从业人员在作业过程中，应当严格遵守渔业安全生产规章制度和安全技术操作规程，服从管理，正确佩带和使用渔业作业防护用品。</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第十一条</w:t>
      </w:r>
      <w:r>
        <w:rPr>
          <w:rFonts w:hint="eastAsia" w:ascii="仿宋" w:hAnsi="仿宋" w:eastAsia="仿宋" w:cs="仿宋"/>
          <w:sz w:val="32"/>
          <w:szCs w:val="32"/>
        </w:rPr>
        <w:t xml:space="preserve">  渔业从业人员有权对本船存在的安全隐患提出整改意见，有权拒绝违章指挥和冒险作业。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第十二条</w:t>
      </w:r>
      <w:r>
        <w:rPr>
          <w:rFonts w:hint="eastAsia" w:ascii="仿宋" w:hAnsi="仿宋" w:eastAsia="仿宋" w:cs="仿宋"/>
          <w:sz w:val="32"/>
          <w:szCs w:val="32"/>
        </w:rPr>
        <w:t xml:space="preserve">  渔业从业人员应当接受专业培训和安全教育，取得渔港监督机构核发的船员证书后，方可上岗。</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职务船员应当持有职务证书，普通船员应当持有训练合格证书。</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船员证书应当随船携带，不得转借、冒用、涂改、伪造。</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第十三条</w:t>
      </w:r>
      <w:r>
        <w:rPr>
          <w:rFonts w:hint="eastAsia" w:ascii="仿宋" w:hAnsi="仿宋" w:eastAsia="仿宋" w:cs="仿宋"/>
          <w:sz w:val="32"/>
          <w:szCs w:val="32"/>
        </w:rPr>
        <w:t xml:space="preserve">  从事海洋渔业活动的企业或者有雇工的个体工商户应当按照《工伤保险条例》的规定参加工伤保险，为渔业从业人员缴纳保险费。</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第十四条</w:t>
      </w:r>
      <w:r>
        <w:rPr>
          <w:rFonts w:hint="eastAsia" w:ascii="仿宋" w:hAnsi="仿宋" w:eastAsia="仿宋" w:cs="仿宋"/>
          <w:sz w:val="32"/>
          <w:szCs w:val="32"/>
        </w:rPr>
        <w:t xml:space="preserve">  渔业船舶所有人或者经营人不得以任何形式与渔业从业人员订立免除或者减轻其对渔业从业人员因海洋渔业安全事故伤亡依法应当承担责任的协议。</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2" w:name="_Toc19226"/>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第三章  渔业港口安全管理</w:t>
      </w:r>
      <w:bookmarkEnd w:id="2"/>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第十五条</w:t>
      </w:r>
      <w:r>
        <w:rPr>
          <w:rFonts w:hint="eastAsia" w:ascii="仿宋" w:hAnsi="仿宋" w:eastAsia="仿宋" w:cs="仿宋"/>
          <w:sz w:val="32"/>
          <w:szCs w:val="32"/>
        </w:rPr>
        <w:t xml:space="preserve">  新建、改建、扩建渔港时，渔港导航、消防等安全设施应当与主体工程同时设计、同时施工，经有关部门验收合格后，方可投入使用。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第十六条</w:t>
      </w:r>
      <w:r>
        <w:rPr>
          <w:rFonts w:hint="eastAsia" w:ascii="仿宋" w:hAnsi="仿宋" w:eastAsia="仿宋" w:cs="仿宋"/>
          <w:sz w:val="32"/>
          <w:szCs w:val="32"/>
        </w:rPr>
        <w:t xml:space="preserve">  渔港内船舶、设施有下列情形之一的，渔港监督机构有权禁止其离港，或者令其停航、改航、停止作业：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（一）违反有关法律、法规或者规章的；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（二）船舶处于不适航或者不适拖状态的；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（三）发生交通事故手续未清的；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（四）未向渔港监督机构或者有关部门交付应当承担的费用，也未提供担保的；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（五）渔港监督机构认为有其他妨害或者可能妨害海上交通安全的。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第十七条</w:t>
      </w:r>
      <w:r>
        <w:rPr>
          <w:rFonts w:hint="eastAsia" w:ascii="仿宋" w:hAnsi="仿宋" w:eastAsia="仿宋" w:cs="仿宋"/>
          <w:sz w:val="32"/>
          <w:szCs w:val="32"/>
        </w:rPr>
        <w:t xml:space="preserve">  渔港内船舶应当按指定位置停泊，并留有足以保证船舶安全的合格船员值班。</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未经渔港监督机构批准，渔港内船舶不得明火作业。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第十八条</w:t>
      </w:r>
      <w:r>
        <w:rPr>
          <w:rFonts w:hint="eastAsia" w:ascii="仿宋" w:hAnsi="仿宋" w:eastAsia="仿宋" w:cs="仿宋"/>
          <w:sz w:val="32"/>
          <w:szCs w:val="32"/>
        </w:rPr>
        <w:t xml:space="preserve">  渔港水域发生危及人身、财产安全等紧急情况时，在港船舶和人员应当服从渔港监督机构统一指挥。</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3" w:name="_Toc4016"/>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第四章  渔业船舶安全管理</w:t>
      </w:r>
      <w:bookmarkEnd w:id="3"/>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第十九条</w:t>
      </w:r>
      <w:r>
        <w:rPr>
          <w:rFonts w:hint="eastAsia" w:ascii="仿宋" w:hAnsi="仿宋" w:eastAsia="仿宋" w:cs="仿宋"/>
          <w:sz w:val="32"/>
          <w:szCs w:val="32"/>
        </w:rPr>
        <w:t xml:space="preserve">  渔业船舶必须持有有效的船舶检验证书、登记证书（国籍证书）和渔业船舶航行签证簿，并应当随船携带。</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渔业船舶航行签证簿应当按规定年审。</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第二十条</w:t>
      </w:r>
      <w:r>
        <w:rPr>
          <w:rFonts w:hint="eastAsia" w:ascii="仿宋" w:hAnsi="仿宋" w:eastAsia="仿宋" w:cs="仿宋"/>
          <w:sz w:val="32"/>
          <w:szCs w:val="32"/>
        </w:rPr>
        <w:t xml:space="preserve">  渔业船舶应当按规定进行检验，严禁报废船舶从事海洋渔业作业。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第二十一条</w:t>
      </w:r>
      <w:r>
        <w:rPr>
          <w:rFonts w:hint="eastAsia" w:ascii="仿宋" w:hAnsi="仿宋" w:eastAsia="仿宋" w:cs="仿宋"/>
          <w:sz w:val="32"/>
          <w:szCs w:val="32"/>
        </w:rPr>
        <w:t xml:space="preserve">  渔业船舶应当按规定配备消防、救生、通信、导航和号灯、号型等安全设备，并按规定清楚刷写船名、船籍港，悬挂船名牌。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每艘渔业船舶只能有一个船籍港、一个船名，不得重复登记。船名由省渔港监督机构统一编排，任何单位和个人不得随意编写。</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第二十二条</w:t>
      </w:r>
      <w:r>
        <w:rPr>
          <w:rFonts w:hint="eastAsia" w:ascii="仿宋" w:hAnsi="仿宋" w:eastAsia="仿宋" w:cs="仿宋"/>
          <w:sz w:val="32"/>
          <w:szCs w:val="32"/>
        </w:rPr>
        <w:t xml:space="preserve">  渔业船舶不得超载、违章搭客和违章装载危险货物，不得在航道锚泊。</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渔业船舶航行、作业、锚泊时，应当按规定显示号灯、号型。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第二十三条</w:t>
      </w:r>
      <w:r>
        <w:rPr>
          <w:rFonts w:hint="eastAsia" w:ascii="仿宋" w:hAnsi="仿宋" w:eastAsia="仿宋" w:cs="仿宋"/>
          <w:sz w:val="32"/>
          <w:szCs w:val="32"/>
        </w:rPr>
        <w:t xml:space="preserve">  渔业船舶禁止超航区、超风级出海作业。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渔业船舶遇有超风级时，在港的不准出航，在航的应当立即停止作业，就近避风。在危险海域作业，应当按规定从严一级风级执行。</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4" w:name="_Toc4620"/>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第五章  海上救助与事故处理</w:t>
      </w:r>
      <w:bookmarkEnd w:id="4"/>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第二十四条</w:t>
      </w:r>
      <w:r>
        <w:rPr>
          <w:rFonts w:hint="eastAsia" w:ascii="仿宋" w:hAnsi="仿宋" w:eastAsia="仿宋" w:cs="仿宋"/>
          <w:sz w:val="32"/>
          <w:szCs w:val="32"/>
        </w:rPr>
        <w:t xml:space="preserve">  省人民政府应当组织建立健全近海渔业岸站通讯网络，有关部门应当保证通讯网络的正常运行。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第二十五条</w:t>
      </w:r>
      <w:r>
        <w:rPr>
          <w:rFonts w:hint="eastAsia" w:ascii="仿宋" w:hAnsi="仿宋" w:eastAsia="仿宋" w:cs="仿宋"/>
          <w:sz w:val="32"/>
          <w:szCs w:val="32"/>
        </w:rPr>
        <w:t xml:space="preserve">  省及沿海市、县人民政府渔业行政主管部门应当建立健全渔业海难快速搜寻救助队伍，做好海洋渔业救助工作。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第二十六条</w:t>
      </w:r>
      <w:r>
        <w:rPr>
          <w:rFonts w:hint="eastAsia" w:ascii="仿宋" w:hAnsi="仿宋" w:eastAsia="仿宋" w:cs="仿宋"/>
          <w:sz w:val="32"/>
          <w:szCs w:val="32"/>
        </w:rPr>
        <w:t xml:space="preserve">  渔业船舶或者船员、设施发生安全事故，应当按规定尽快向就近的渔港监督机构报告。任何单位和个人不得隐瞒不报、谎报或者拖延报告，不得以任何方式阻碍事故调查。</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第二十七条</w:t>
      </w:r>
      <w:r>
        <w:rPr>
          <w:rFonts w:hint="eastAsia" w:ascii="仿宋" w:hAnsi="仿宋" w:eastAsia="仿宋" w:cs="仿宋"/>
          <w:sz w:val="32"/>
          <w:szCs w:val="32"/>
        </w:rPr>
        <w:t xml:space="preserve">  事故现场附近或者过往的船舶发现渔业船舶、船员遇险遇难或者收到求救信号时，在不严重危及自身安全的情况下，应当提供救助并服从统一指挥。</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第二十八条</w:t>
      </w:r>
      <w:r>
        <w:rPr>
          <w:rFonts w:hint="eastAsia" w:ascii="仿宋" w:hAnsi="仿宋" w:eastAsia="仿宋" w:cs="仿宋"/>
          <w:sz w:val="32"/>
          <w:szCs w:val="32"/>
        </w:rPr>
        <w:t xml:space="preserve">  发生碰撞事故的渔业船舶、设施，在不严重危及自身安全的情况下，不得擅自离开事故现场。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肇事船舶不得逃逸。</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第二十九条</w:t>
      </w:r>
      <w:r>
        <w:rPr>
          <w:rFonts w:hint="eastAsia" w:ascii="仿宋" w:hAnsi="仿宋" w:eastAsia="仿宋" w:cs="仿宋"/>
          <w:sz w:val="32"/>
          <w:szCs w:val="32"/>
        </w:rPr>
        <w:t xml:space="preserve">  渔业船舶或者船员、设施发生生产安全事故后，由渔港监督机构或者安全生产监督管理等部门依据职权对事故进行调查，作出事故处理决定。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第三十条</w:t>
      </w:r>
      <w:r>
        <w:rPr>
          <w:rFonts w:hint="eastAsia" w:ascii="仿宋" w:hAnsi="仿宋" w:eastAsia="仿宋" w:cs="仿宋"/>
          <w:sz w:val="32"/>
          <w:szCs w:val="32"/>
        </w:rPr>
        <w:t xml:space="preserve">  鼓励、支持成立渔船船东协会和开展渔船船东互保业务。沿海村民委员会应当组织好渔业船舶编队生产，提高安全管理、自救互救能力。</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5" w:name="_Toc28817"/>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第六章  法律责任</w:t>
      </w:r>
      <w:bookmarkEnd w:id="5"/>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第三十一条</w:t>
      </w:r>
      <w:r>
        <w:rPr>
          <w:rFonts w:hint="eastAsia" w:ascii="仿宋" w:hAnsi="仿宋" w:eastAsia="仿宋" w:cs="仿宋"/>
          <w:sz w:val="32"/>
          <w:szCs w:val="32"/>
        </w:rPr>
        <w:t xml:space="preserve">  违反本条例规定，有下列行为之一的，由渔港监督机构责令改正，对船长或者直接责任人处以以下罚款；情节严重的，扣留船长职务证书3至6个月；情节特别严重的，吊销船长职务证书：</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（一）拒不执行渔港监督机构作出的禁止离港、停航、改航、停止作业决定的，处以1000元以上1万元以下罚款；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（二）渔业船舶超载、违章搭客或者违章装载危险货物以及超风级、超航区航行作业的，处以1000元以上5000元以下罚款；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（三）渔港水域发生危及人身、财产安全等紧急情况时，在港船舶和人员不服从渔港监督机构统一指挥的，处以200元以上2000元以下罚款；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（四）在渔港内停泊未留有足以保证船舶安全的合格船员值班的，处以100元以上1000元以下罚款。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第三十二条</w:t>
      </w:r>
      <w:r>
        <w:rPr>
          <w:rFonts w:hint="eastAsia" w:ascii="仿宋" w:hAnsi="仿宋" w:eastAsia="仿宋" w:cs="仿宋"/>
          <w:sz w:val="32"/>
          <w:szCs w:val="32"/>
        </w:rPr>
        <w:t xml:space="preserve">  违反本条例规定，有下列行为之一的，由渔港监督机构责令改正，对渔业船舶所有人或者经营人处以以下罚款：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（一）职务船员未按规定持证上岗的，处以500元以上3000元以下罚款；普通船员未按规定持证上岗的，处以200元以上1000元以下罚款；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（二）渔业船舶未按规定配备消防、救生、通信、导航和号灯、号型等安全设备或者未按规定刷写船名、船籍港，没有悬挂船名牌的，处以500元以上3000元以下罚款；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（三）航行签证簿未按规定年审的，处以500元以上2000元以下罚款。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第三十三条</w:t>
      </w:r>
      <w:r>
        <w:rPr>
          <w:rFonts w:hint="eastAsia" w:ascii="仿宋" w:hAnsi="仿宋" w:eastAsia="仿宋" w:cs="仿宋"/>
          <w:sz w:val="32"/>
          <w:szCs w:val="32"/>
        </w:rPr>
        <w:t xml:space="preserve">  违反本条例规定，有下列行为之一的，由渔港监督机构责令改正，处以以下罚款：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（一）转借、冒用、涂改、伪造船员证书的，对当事人或者直接责任人处以1000元以上3000元以下罚款；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（二）渔港内擅自明火作业的，对当事人或者直接责任人处以200元以上2000元以下罚款；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（三）在航道锚泊或者未按规定显示号灯、号型的，对船长或者直接责任人处以200元以上2000元以下罚款。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第三十四条</w:t>
      </w:r>
      <w:r>
        <w:rPr>
          <w:rFonts w:hint="eastAsia" w:ascii="仿宋" w:hAnsi="仿宋" w:eastAsia="仿宋" w:cs="仿宋"/>
          <w:sz w:val="32"/>
          <w:szCs w:val="32"/>
        </w:rPr>
        <w:t xml:space="preserve">  违反本条例规定，应当报废的渔业船舶继续从事海洋渔业作业的，由渔港监督机构责令停止作业，收缴失效的渔业船舶检验证书，强制拆解应当报废的渔业船舶，并处以2000元以上5万元以下罚款。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第三十五条</w:t>
      </w:r>
      <w:r>
        <w:rPr>
          <w:rFonts w:hint="eastAsia" w:ascii="仿宋" w:hAnsi="仿宋" w:eastAsia="仿宋" w:cs="仿宋"/>
          <w:sz w:val="32"/>
          <w:szCs w:val="32"/>
        </w:rPr>
        <w:t xml:space="preserve">  违反本条例规定，发生碰撞事故的渔业船舶、设施，擅自离开事故现场的，扣留船长职务证书3至6个月，对船长或者直接责任人处以500元以上1000元以下罚款；肇事逃逸的，吊销船长职务证书，对船长或者直接责任人处以5000元以上1万元以下罚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第三十六条</w:t>
      </w:r>
      <w:r>
        <w:rPr>
          <w:rFonts w:hint="eastAsia" w:ascii="仿宋" w:hAnsi="仿宋" w:eastAsia="仿宋" w:cs="仿宋"/>
          <w:sz w:val="32"/>
          <w:szCs w:val="32"/>
        </w:rPr>
        <w:t xml:space="preserve">  渔业行政主管部门及其渔港监督机构执法人员违反本条例规定，有下列行为之一的，由其主管机关责令改正，给予行政处分：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（一）违反规定核发或者拒绝核发船舶、船员证书证件的；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（二）违反国家有关规定向渔业船舶所有人或者经营人收取费用的；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（三）违反规定擅自滞留船舶，扣留设备、渔具的；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（四）发生渔业安全事故未及时处理的；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（五）其他滥用职权、玩忽职守、徇私舞弊的。</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6" w:name="_Toc25188"/>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第七章  附    则</w:t>
      </w:r>
      <w:bookmarkEnd w:id="6"/>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第三十七条</w:t>
      </w:r>
      <w:r>
        <w:rPr>
          <w:rFonts w:hint="eastAsia" w:ascii="仿宋" w:hAnsi="仿宋" w:eastAsia="仿宋" w:cs="仿宋"/>
          <w:sz w:val="32"/>
          <w:szCs w:val="32"/>
        </w:rPr>
        <w:t xml:space="preserve">  内陆水域的渔业安全管理参照本条例执行。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第三十八条</w:t>
      </w:r>
      <w:r>
        <w:rPr>
          <w:rFonts w:hint="eastAsia" w:ascii="仿宋" w:hAnsi="仿宋" w:eastAsia="仿宋" w:cs="仿宋"/>
          <w:sz w:val="32"/>
          <w:szCs w:val="32"/>
        </w:rPr>
        <w:t xml:space="preserve">  本条例自2003年12月1日起施行。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中央文件专用字库2">
    <w:panose1 w:val="03000509000000000000"/>
    <w:charset w:val="86"/>
    <w:family w:val="auto"/>
    <w:pitch w:val="default"/>
    <w:sig w:usb0="00000001" w:usb1="08000000" w:usb2="00000000" w:usb3="00000000" w:csb0="00040000" w:csb1="00000000"/>
  </w:font>
  <w:font w:name="中央文件专用字库1">
    <w:panose1 w:val="03000509000000000000"/>
    <w:charset w:val="86"/>
    <w:family w:val="auto"/>
    <w:pitch w:val="default"/>
    <w:sig w:usb0="00000001" w:usb1="08000000" w:usb2="00000000" w:usb3="00000000" w:csb0="00040000" w:csb1="00000000"/>
  </w:font>
  <w:font w:name="宋">
    <w:altName w:val="宋体"/>
    <w:panose1 w:val="00000000000000000000"/>
    <w:charset w:val="00"/>
    <w:family w:val="auto"/>
    <w:pitch w:val="default"/>
    <w:sig w:usb0="00000000" w:usb1="00000000" w:usb2="00000000" w:usb3="00000000" w:csb0="00000000" w:csb1="00000000"/>
  </w:font>
  <w:font w:name="相结合">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相结">
    <w:altName w:val="Segoe Print"/>
    <w:panose1 w:val="00000000000000000000"/>
    <w:charset w:val="00"/>
    <w:family w:val="auto"/>
    <w:pitch w:val="default"/>
    <w:sig w:usb0="00000000" w:usb1="00000000" w:usb2="00000000" w:usb3="00000000" w:csb0="00000000" w:csb1="00000000"/>
  </w:font>
  <w:font w:name="相">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仿">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方正中楷繁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F2837"/>
    <w:rsid w:val="00DC6F67"/>
    <w:rsid w:val="0131294C"/>
    <w:rsid w:val="01395EB3"/>
    <w:rsid w:val="01A90DF8"/>
    <w:rsid w:val="01D27DA7"/>
    <w:rsid w:val="02123303"/>
    <w:rsid w:val="02DC1B4A"/>
    <w:rsid w:val="030B094A"/>
    <w:rsid w:val="03187345"/>
    <w:rsid w:val="03400271"/>
    <w:rsid w:val="04A11D33"/>
    <w:rsid w:val="04E00FF6"/>
    <w:rsid w:val="04F51BA1"/>
    <w:rsid w:val="05266E56"/>
    <w:rsid w:val="054A6246"/>
    <w:rsid w:val="05B10E1F"/>
    <w:rsid w:val="064B52D3"/>
    <w:rsid w:val="06FE6E5A"/>
    <w:rsid w:val="090C6FF4"/>
    <w:rsid w:val="0BFA65D6"/>
    <w:rsid w:val="0C6A4B67"/>
    <w:rsid w:val="0C9250A8"/>
    <w:rsid w:val="0CEC2EA6"/>
    <w:rsid w:val="0D7C2526"/>
    <w:rsid w:val="0E664A1A"/>
    <w:rsid w:val="0F037DF5"/>
    <w:rsid w:val="10630639"/>
    <w:rsid w:val="107F2C41"/>
    <w:rsid w:val="109467B8"/>
    <w:rsid w:val="112C3662"/>
    <w:rsid w:val="116945A7"/>
    <w:rsid w:val="11945F12"/>
    <w:rsid w:val="13200AFA"/>
    <w:rsid w:val="13595AA4"/>
    <w:rsid w:val="143D2F2C"/>
    <w:rsid w:val="143F54BF"/>
    <w:rsid w:val="14824A64"/>
    <w:rsid w:val="15B6789A"/>
    <w:rsid w:val="161F2837"/>
    <w:rsid w:val="164D12D6"/>
    <w:rsid w:val="17726FC4"/>
    <w:rsid w:val="177A3CFF"/>
    <w:rsid w:val="17FE62AE"/>
    <w:rsid w:val="18171061"/>
    <w:rsid w:val="181774D2"/>
    <w:rsid w:val="189A5561"/>
    <w:rsid w:val="18AF0FF7"/>
    <w:rsid w:val="18C670C6"/>
    <w:rsid w:val="1A264C98"/>
    <w:rsid w:val="1AD672BF"/>
    <w:rsid w:val="1B0B6D26"/>
    <w:rsid w:val="1BEF3813"/>
    <w:rsid w:val="1C6E12DC"/>
    <w:rsid w:val="1CF5377A"/>
    <w:rsid w:val="1D7A161D"/>
    <w:rsid w:val="1DF5713F"/>
    <w:rsid w:val="1E320A55"/>
    <w:rsid w:val="1E6229FB"/>
    <w:rsid w:val="1E8C04FB"/>
    <w:rsid w:val="1F487ACC"/>
    <w:rsid w:val="1FCA6FF6"/>
    <w:rsid w:val="20103889"/>
    <w:rsid w:val="20316386"/>
    <w:rsid w:val="20590C69"/>
    <w:rsid w:val="20EF61E1"/>
    <w:rsid w:val="223E6956"/>
    <w:rsid w:val="240D4646"/>
    <w:rsid w:val="25D47A71"/>
    <w:rsid w:val="2624617C"/>
    <w:rsid w:val="2630396D"/>
    <w:rsid w:val="264440A8"/>
    <w:rsid w:val="270B303B"/>
    <w:rsid w:val="27B05AA6"/>
    <w:rsid w:val="27FC2D25"/>
    <w:rsid w:val="287477DF"/>
    <w:rsid w:val="29123653"/>
    <w:rsid w:val="2A4147F2"/>
    <w:rsid w:val="2B031DE5"/>
    <w:rsid w:val="2B537748"/>
    <w:rsid w:val="2BE3684F"/>
    <w:rsid w:val="2BFC5DAE"/>
    <w:rsid w:val="2CE13614"/>
    <w:rsid w:val="2D013697"/>
    <w:rsid w:val="2D942549"/>
    <w:rsid w:val="2DB7090C"/>
    <w:rsid w:val="2DBE0035"/>
    <w:rsid w:val="2E991E94"/>
    <w:rsid w:val="2EA67C7A"/>
    <w:rsid w:val="2ED63F14"/>
    <w:rsid w:val="2EF66D7D"/>
    <w:rsid w:val="2F082722"/>
    <w:rsid w:val="2F836FAA"/>
    <w:rsid w:val="2FAC7C6C"/>
    <w:rsid w:val="2FFC0332"/>
    <w:rsid w:val="30B05D00"/>
    <w:rsid w:val="315015BF"/>
    <w:rsid w:val="319A7AB0"/>
    <w:rsid w:val="31E03E63"/>
    <w:rsid w:val="330956BB"/>
    <w:rsid w:val="34992DB2"/>
    <w:rsid w:val="34A4792D"/>
    <w:rsid w:val="3523460C"/>
    <w:rsid w:val="355D574F"/>
    <w:rsid w:val="35B732C8"/>
    <w:rsid w:val="35E577DF"/>
    <w:rsid w:val="363F69A7"/>
    <w:rsid w:val="36811BED"/>
    <w:rsid w:val="37C466BF"/>
    <w:rsid w:val="37ED52A7"/>
    <w:rsid w:val="38721F4F"/>
    <w:rsid w:val="38EE67B9"/>
    <w:rsid w:val="38F3428F"/>
    <w:rsid w:val="3975062E"/>
    <w:rsid w:val="3A3C6DDF"/>
    <w:rsid w:val="3A630D35"/>
    <w:rsid w:val="3AC920CE"/>
    <w:rsid w:val="3BA73BF4"/>
    <w:rsid w:val="3C7F5E75"/>
    <w:rsid w:val="3D486918"/>
    <w:rsid w:val="3E277E6D"/>
    <w:rsid w:val="3E400C5F"/>
    <w:rsid w:val="3EF34D8D"/>
    <w:rsid w:val="3F985328"/>
    <w:rsid w:val="3FD8696F"/>
    <w:rsid w:val="40913EE0"/>
    <w:rsid w:val="40934429"/>
    <w:rsid w:val="40B94E87"/>
    <w:rsid w:val="40CC3ADD"/>
    <w:rsid w:val="40F2738E"/>
    <w:rsid w:val="42C267EB"/>
    <w:rsid w:val="43693C5A"/>
    <w:rsid w:val="44B56F0C"/>
    <w:rsid w:val="44BA1352"/>
    <w:rsid w:val="455C5B77"/>
    <w:rsid w:val="45715B28"/>
    <w:rsid w:val="45CC43B8"/>
    <w:rsid w:val="45E94568"/>
    <w:rsid w:val="45EB580A"/>
    <w:rsid w:val="46F25374"/>
    <w:rsid w:val="46FE6ADB"/>
    <w:rsid w:val="47190386"/>
    <w:rsid w:val="48235500"/>
    <w:rsid w:val="496D093B"/>
    <w:rsid w:val="49B60526"/>
    <w:rsid w:val="4A0E14A2"/>
    <w:rsid w:val="4A115B83"/>
    <w:rsid w:val="4A304D48"/>
    <w:rsid w:val="4A376741"/>
    <w:rsid w:val="4A762DE3"/>
    <w:rsid w:val="4A9F5378"/>
    <w:rsid w:val="4ACE5D7C"/>
    <w:rsid w:val="4BF3497D"/>
    <w:rsid w:val="4C4749AD"/>
    <w:rsid w:val="4C4F10F0"/>
    <w:rsid w:val="4C8B2202"/>
    <w:rsid w:val="4CAD2CFC"/>
    <w:rsid w:val="4E125172"/>
    <w:rsid w:val="4EE07366"/>
    <w:rsid w:val="4F1678B7"/>
    <w:rsid w:val="4F2C0DC2"/>
    <w:rsid w:val="4F551665"/>
    <w:rsid w:val="4FB03709"/>
    <w:rsid w:val="4FDA2B53"/>
    <w:rsid w:val="50481CEB"/>
    <w:rsid w:val="508E2CC0"/>
    <w:rsid w:val="51774BDD"/>
    <w:rsid w:val="52C57AD3"/>
    <w:rsid w:val="52E867D7"/>
    <w:rsid w:val="532A73B3"/>
    <w:rsid w:val="53966249"/>
    <w:rsid w:val="55F153C4"/>
    <w:rsid w:val="561B6A0C"/>
    <w:rsid w:val="56346931"/>
    <w:rsid w:val="56801407"/>
    <w:rsid w:val="56C277FA"/>
    <w:rsid w:val="57180052"/>
    <w:rsid w:val="57EA54B3"/>
    <w:rsid w:val="585602DF"/>
    <w:rsid w:val="590E0F79"/>
    <w:rsid w:val="59836D8C"/>
    <w:rsid w:val="5A4370C0"/>
    <w:rsid w:val="5A8627B5"/>
    <w:rsid w:val="5AFE29E7"/>
    <w:rsid w:val="5D0A6845"/>
    <w:rsid w:val="5D8666C1"/>
    <w:rsid w:val="5E1E3B4D"/>
    <w:rsid w:val="5E556905"/>
    <w:rsid w:val="5E6C00EB"/>
    <w:rsid w:val="5E790AB1"/>
    <w:rsid w:val="5EA5155D"/>
    <w:rsid w:val="5FC01C05"/>
    <w:rsid w:val="60212DE9"/>
    <w:rsid w:val="6033420B"/>
    <w:rsid w:val="625C6084"/>
    <w:rsid w:val="626C54D9"/>
    <w:rsid w:val="62BC1813"/>
    <w:rsid w:val="64A019F5"/>
    <w:rsid w:val="652671F7"/>
    <w:rsid w:val="65A52084"/>
    <w:rsid w:val="663B59C0"/>
    <w:rsid w:val="667230FF"/>
    <w:rsid w:val="66BA54A4"/>
    <w:rsid w:val="67544E85"/>
    <w:rsid w:val="67DD1197"/>
    <w:rsid w:val="680B03CF"/>
    <w:rsid w:val="68DB6E36"/>
    <w:rsid w:val="697E6B15"/>
    <w:rsid w:val="6AAA3BEE"/>
    <w:rsid w:val="6B131566"/>
    <w:rsid w:val="6B6B45BE"/>
    <w:rsid w:val="6BA75280"/>
    <w:rsid w:val="6BE11D86"/>
    <w:rsid w:val="6C076208"/>
    <w:rsid w:val="6C2706A1"/>
    <w:rsid w:val="6CD51EDC"/>
    <w:rsid w:val="6D4443E7"/>
    <w:rsid w:val="6D6A13C0"/>
    <w:rsid w:val="6DA53D50"/>
    <w:rsid w:val="6DBF7B24"/>
    <w:rsid w:val="6F723BC8"/>
    <w:rsid w:val="6F8B7987"/>
    <w:rsid w:val="709C429C"/>
    <w:rsid w:val="70F53D21"/>
    <w:rsid w:val="717C33E8"/>
    <w:rsid w:val="7269452B"/>
    <w:rsid w:val="72EF5052"/>
    <w:rsid w:val="732C51EB"/>
    <w:rsid w:val="746E6EE2"/>
    <w:rsid w:val="74FD13CF"/>
    <w:rsid w:val="753B5365"/>
    <w:rsid w:val="761746CE"/>
    <w:rsid w:val="765A6983"/>
    <w:rsid w:val="767B4FBE"/>
    <w:rsid w:val="76D129CF"/>
    <w:rsid w:val="785161E0"/>
    <w:rsid w:val="78C42802"/>
    <w:rsid w:val="78FF556C"/>
    <w:rsid w:val="79E6441F"/>
    <w:rsid w:val="7A86554B"/>
    <w:rsid w:val="7A9044D5"/>
    <w:rsid w:val="7BA834EA"/>
    <w:rsid w:val="7BCA0A4C"/>
    <w:rsid w:val="7CA15643"/>
    <w:rsid w:val="7D2A4684"/>
    <w:rsid w:val="7D4263F2"/>
    <w:rsid w:val="7DD73CD4"/>
    <w:rsid w:val="7E0E014F"/>
    <w:rsid w:val="7E5F4A5B"/>
    <w:rsid w:val="7ED17299"/>
    <w:rsid w:val="7EF94983"/>
    <w:rsid w:val="7F5E3BC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Autospacing="0" w:afterAutospacing="0" w:line="560" w:lineRule="exact"/>
      <w:ind w:firstLine="0" w:firstLineChars="0"/>
      <w:jc w:val="center"/>
      <w:outlineLvl w:val="0"/>
    </w:pPr>
    <w:rPr>
      <w:rFonts w:eastAsia="黑体"/>
      <w:kern w:val="44"/>
      <w:sz w:val="32"/>
    </w:rPr>
  </w:style>
  <w:style w:type="paragraph" w:styleId="3">
    <w:name w:val="heading 2"/>
    <w:basedOn w:val="1"/>
    <w:next w:val="1"/>
    <w:unhideWhenUsed/>
    <w:qFormat/>
    <w:uiPriority w:val="0"/>
    <w:pPr>
      <w:keepNext/>
      <w:keepLines/>
      <w:spacing w:before="100" w:beforeLines="100" w:beforeAutospacing="0" w:after="100" w:afterLines="100" w:afterAutospacing="0" w:line="413" w:lineRule="auto"/>
      <w:jc w:val="center"/>
      <w:outlineLvl w:val="1"/>
    </w:pPr>
    <w:rPr>
      <w:rFonts w:ascii="Arial" w:hAnsi="Arial" w:eastAsia="宋体"/>
      <w:sz w:val="32"/>
    </w:rPr>
  </w:style>
  <w:style w:type="paragraph" w:styleId="4">
    <w:name w:val="heading 3"/>
    <w:basedOn w:val="1"/>
    <w:next w:val="1"/>
    <w:link w:val="14"/>
    <w:unhideWhenUsed/>
    <w:qFormat/>
    <w:uiPriority w:val="0"/>
    <w:pPr>
      <w:keepNext/>
      <w:keepLines/>
      <w:spacing w:beforeLines="0" w:beforeAutospacing="0" w:afterLines="0" w:afterAutospacing="0" w:line="560" w:lineRule="exact"/>
      <w:ind w:firstLine="640" w:firstLineChars="200"/>
      <w:jc w:val="left"/>
      <w:outlineLvl w:val="2"/>
    </w:pPr>
    <w:rPr>
      <w:rFonts w:eastAsia="楷体"/>
      <w:sz w:val="32"/>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spacing w:line="560" w:lineRule="exact"/>
      <w:ind w:left="630" w:leftChars="300" w:right="630" w:rightChars="300"/>
    </w:pPr>
    <w:rPr>
      <w:rFonts w:eastAsia="楷体"/>
      <w:sz w:val="32"/>
    </w:rPr>
  </w:style>
  <w:style w:type="paragraph" w:styleId="8">
    <w:name w:val="toc 2"/>
    <w:basedOn w:val="1"/>
    <w:next w:val="1"/>
    <w:qFormat/>
    <w:uiPriority w:val="0"/>
    <w:pPr>
      <w:ind w:left="420" w:leftChars="200"/>
    </w:pPr>
  </w:style>
  <w:style w:type="paragraph" w:customStyle="1" w:styleId="11">
    <w:name w:val="目录"/>
    <w:basedOn w:val="1"/>
    <w:link w:val="12"/>
    <w:qFormat/>
    <w:uiPriority w:val="0"/>
    <w:pPr>
      <w:spacing w:line="560" w:lineRule="exact"/>
    </w:pPr>
    <w:rPr>
      <w:rFonts w:ascii="Calibri" w:hAnsi="Calibri" w:eastAsia="仿宋"/>
      <w:sz w:val="32"/>
    </w:rPr>
  </w:style>
  <w:style w:type="character" w:customStyle="1" w:styleId="12">
    <w:name w:val="目录 Char"/>
    <w:link w:val="11"/>
    <w:qFormat/>
    <w:uiPriority w:val="0"/>
    <w:rPr>
      <w:rFonts w:ascii="Calibri" w:hAnsi="Calibri" w:eastAsia="仿宋"/>
      <w:sz w:val="32"/>
    </w:rPr>
  </w:style>
  <w:style w:type="character" w:customStyle="1" w:styleId="13">
    <w:name w:val="标题 1 Char"/>
    <w:link w:val="2"/>
    <w:qFormat/>
    <w:uiPriority w:val="0"/>
    <w:rPr>
      <w:rFonts w:ascii="Calibri" w:hAnsi="Calibri" w:eastAsia="黑体"/>
      <w:kern w:val="44"/>
      <w:sz w:val="32"/>
    </w:rPr>
  </w:style>
  <w:style w:type="character" w:customStyle="1" w:styleId="14">
    <w:name w:val="标题 3 Char"/>
    <w:link w:val="4"/>
    <w:qFormat/>
    <w:uiPriority w:val="0"/>
    <w:rPr>
      <w:rFonts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2017-02-10T04:07:00Z</dcterms:created>
  <dc:creator>Administrator</dc:creator>
  <cp:lastModifiedBy>Administrator</cp:lastModifiedBy>
  <dcterms:modified xsi:type="dcterms:W3CDTF">2017-02-16T15:25:08Z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