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1156" w:rsidRDefault="007C1156" w:rsidP="007C1156">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7C1156" w:rsidRDefault="007C1156" w:rsidP="007C1156">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7C1156" w:rsidRPr="007C1156" w:rsidRDefault="007C1156" w:rsidP="007C1156">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7C1156">
        <w:rPr>
          <w:rFonts w:asciiTheme="majorEastAsia" w:eastAsiaTheme="majorEastAsia" w:hAnsiTheme="majorEastAsia" w:cs="仿宋_GB2312" w:hint="eastAsia"/>
          <w:bCs/>
          <w:color w:val="000000"/>
          <w:kern w:val="0"/>
          <w:sz w:val="44"/>
          <w:szCs w:val="44"/>
          <w:lang w:val="zh-CN"/>
        </w:rPr>
        <w:t>杭州市土地管理规定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p>
    <w:p w:rsidR="007C1156" w:rsidRPr="007C1156" w:rsidRDefault="007C1156" w:rsidP="007C1156">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7C1156">
        <w:rPr>
          <w:rFonts w:ascii="楷体_GB2312" w:eastAsia="楷体_GB2312" w:hAnsi="黑体" w:cs="仿宋_GB2312" w:hint="eastAsia"/>
          <w:bCs/>
          <w:color w:val="000000"/>
          <w:kern w:val="0"/>
          <w:szCs w:val="21"/>
          <w:lang w:val="zh-CN"/>
        </w:rPr>
        <w:t>（</w:t>
      </w:r>
      <w:r w:rsidRPr="007C1156">
        <w:rPr>
          <w:rFonts w:ascii="楷体_GB2312" w:eastAsia="楷体_GB2312" w:hAnsi="黑体" w:cs="仿宋_GB2312"/>
          <w:bCs/>
          <w:color w:val="000000"/>
          <w:kern w:val="0"/>
          <w:szCs w:val="21"/>
          <w:lang w:val="zh-CN"/>
        </w:rPr>
        <w:t>2003</w:t>
      </w:r>
      <w:r w:rsidRPr="007C1156">
        <w:rPr>
          <w:rFonts w:ascii="楷体_GB2312" w:eastAsia="楷体_GB2312" w:hAnsi="黑体" w:cs="仿宋_GB2312" w:hint="eastAsia"/>
          <w:bCs/>
          <w:color w:val="000000"/>
          <w:kern w:val="0"/>
          <w:szCs w:val="21"/>
          <w:lang w:val="zh-CN"/>
        </w:rPr>
        <w:t>年</w:t>
      </w:r>
      <w:r w:rsidRPr="007C1156">
        <w:rPr>
          <w:rFonts w:ascii="楷体_GB2312" w:eastAsia="楷体_GB2312" w:hAnsi="黑体" w:cs="仿宋_GB2312"/>
          <w:bCs/>
          <w:color w:val="000000"/>
          <w:kern w:val="0"/>
          <w:szCs w:val="21"/>
          <w:lang w:val="zh-CN"/>
        </w:rPr>
        <w:t>1</w:t>
      </w:r>
      <w:r w:rsidRPr="007C1156">
        <w:rPr>
          <w:rFonts w:ascii="楷体_GB2312" w:eastAsia="楷体_GB2312" w:hAnsi="黑体" w:cs="仿宋_GB2312" w:hint="eastAsia"/>
          <w:bCs/>
          <w:color w:val="000000"/>
          <w:kern w:val="0"/>
          <w:szCs w:val="21"/>
          <w:lang w:val="zh-CN"/>
        </w:rPr>
        <w:t>月</w:t>
      </w:r>
      <w:r w:rsidRPr="007C1156">
        <w:rPr>
          <w:rFonts w:ascii="楷体_GB2312" w:eastAsia="楷体_GB2312" w:hAnsi="黑体" w:cs="仿宋_GB2312"/>
          <w:bCs/>
          <w:color w:val="000000"/>
          <w:kern w:val="0"/>
          <w:szCs w:val="21"/>
          <w:lang w:val="zh-CN"/>
        </w:rPr>
        <w:t>28</w:t>
      </w:r>
      <w:r w:rsidRPr="007C1156">
        <w:rPr>
          <w:rFonts w:ascii="楷体_GB2312" w:eastAsia="楷体_GB2312" w:hAnsi="黑体" w:cs="仿宋_GB2312" w:hint="eastAsia"/>
          <w:bCs/>
          <w:color w:val="000000"/>
          <w:kern w:val="0"/>
          <w:szCs w:val="21"/>
          <w:lang w:val="zh-CN"/>
        </w:rPr>
        <w:t xml:space="preserve">日杭州市第十届人民代表大会常务委员会第六次会议通过　</w:t>
      </w:r>
      <w:r w:rsidRPr="007C1156">
        <w:rPr>
          <w:rFonts w:ascii="楷体_GB2312" w:eastAsia="楷体_GB2312" w:hAnsi="黑体" w:cs="仿宋_GB2312"/>
          <w:bCs/>
          <w:color w:val="000000"/>
          <w:kern w:val="0"/>
          <w:szCs w:val="21"/>
          <w:lang w:val="zh-CN"/>
        </w:rPr>
        <w:t>2003</w:t>
      </w:r>
      <w:r w:rsidRPr="007C1156">
        <w:rPr>
          <w:rFonts w:ascii="楷体_GB2312" w:eastAsia="楷体_GB2312" w:hAnsi="黑体" w:cs="仿宋_GB2312" w:hint="eastAsia"/>
          <w:bCs/>
          <w:color w:val="000000"/>
          <w:kern w:val="0"/>
          <w:szCs w:val="21"/>
          <w:lang w:val="zh-CN"/>
        </w:rPr>
        <w:t>年</w:t>
      </w:r>
      <w:r w:rsidRPr="007C1156">
        <w:rPr>
          <w:rFonts w:ascii="楷体_GB2312" w:eastAsia="楷体_GB2312" w:hAnsi="黑体" w:cs="仿宋_GB2312"/>
          <w:bCs/>
          <w:color w:val="000000"/>
          <w:kern w:val="0"/>
          <w:szCs w:val="21"/>
          <w:lang w:val="zh-CN"/>
        </w:rPr>
        <w:t>4</w:t>
      </w:r>
      <w:r w:rsidRPr="007C1156">
        <w:rPr>
          <w:rFonts w:ascii="楷体_GB2312" w:eastAsia="楷体_GB2312" w:hAnsi="黑体" w:cs="仿宋_GB2312" w:hint="eastAsia"/>
          <w:bCs/>
          <w:color w:val="000000"/>
          <w:kern w:val="0"/>
          <w:szCs w:val="21"/>
          <w:lang w:val="zh-CN"/>
        </w:rPr>
        <w:t>月</w:t>
      </w:r>
      <w:r w:rsidRPr="007C1156">
        <w:rPr>
          <w:rFonts w:ascii="楷体_GB2312" w:eastAsia="楷体_GB2312" w:hAnsi="黑体" w:cs="仿宋_GB2312"/>
          <w:bCs/>
          <w:color w:val="000000"/>
          <w:kern w:val="0"/>
          <w:szCs w:val="21"/>
          <w:lang w:val="zh-CN"/>
        </w:rPr>
        <w:t>29</w:t>
      </w:r>
      <w:r w:rsidRPr="007C1156">
        <w:rPr>
          <w:rFonts w:ascii="楷体_GB2312" w:eastAsia="楷体_GB2312" w:hAnsi="黑体" w:cs="仿宋_GB2312" w:hint="eastAsia"/>
          <w:bCs/>
          <w:color w:val="000000"/>
          <w:kern w:val="0"/>
          <w:szCs w:val="21"/>
          <w:lang w:val="zh-CN"/>
        </w:rPr>
        <w:t xml:space="preserve">日浙江省第十届人民代表大会常务委员会第三次会议批准　</w:t>
      </w:r>
      <w:r w:rsidRPr="007C1156">
        <w:rPr>
          <w:rFonts w:ascii="楷体_GB2312" w:eastAsia="楷体_GB2312" w:hAnsi="黑体" w:cs="仿宋_GB2312"/>
          <w:bCs/>
          <w:color w:val="000000"/>
          <w:kern w:val="0"/>
          <w:szCs w:val="21"/>
          <w:lang w:val="zh-CN"/>
        </w:rPr>
        <w:t>2003</w:t>
      </w:r>
      <w:r w:rsidRPr="007C1156">
        <w:rPr>
          <w:rFonts w:ascii="楷体_GB2312" w:eastAsia="楷体_GB2312" w:hAnsi="黑体" w:cs="仿宋_GB2312" w:hint="eastAsia"/>
          <w:bCs/>
          <w:color w:val="000000"/>
          <w:kern w:val="0"/>
          <w:szCs w:val="21"/>
          <w:lang w:val="zh-CN"/>
        </w:rPr>
        <w:t>年</w:t>
      </w:r>
      <w:r w:rsidRPr="007C1156">
        <w:rPr>
          <w:rFonts w:ascii="楷体_GB2312" w:eastAsia="楷体_GB2312" w:hAnsi="黑体" w:cs="仿宋_GB2312"/>
          <w:bCs/>
          <w:color w:val="000000"/>
          <w:kern w:val="0"/>
          <w:szCs w:val="21"/>
          <w:lang w:val="zh-CN"/>
        </w:rPr>
        <w:t>5</w:t>
      </w:r>
      <w:r w:rsidRPr="007C1156">
        <w:rPr>
          <w:rFonts w:ascii="楷体_GB2312" w:eastAsia="楷体_GB2312" w:hAnsi="黑体" w:cs="仿宋_GB2312" w:hint="eastAsia"/>
          <w:bCs/>
          <w:color w:val="000000"/>
          <w:kern w:val="0"/>
          <w:szCs w:val="21"/>
          <w:lang w:val="zh-CN"/>
        </w:rPr>
        <w:t>月</w:t>
      </w:r>
      <w:r w:rsidRPr="007C1156">
        <w:rPr>
          <w:rFonts w:ascii="楷体_GB2312" w:eastAsia="楷体_GB2312" w:hAnsi="黑体" w:cs="仿宋_GB2312"/>
          <w:bCs/>
          <w:color w:val="000000"/>
          <w:kern w:val="0"/>
          <w:szCs w:val="21"/>
          <w:lang w:val="zh-CN"/>
        </w:rPr>
        <w:t>15</w:t>
      </w:r>
      <w:r w:rsidRPr="007C1156">
        <w:rPr>
          <w:rFonts w:ascii="楷体_GB2312" w:eastAsia="楷体_GB2312" w:hAnsi="黑体" w:cs="仿宋_GB2312" w:hint="eastAsia"/>
          <w:bCs/>
          <w:color w:val="000000"/>
          <w:kern w:val="0"/>
          <w:szCs w:val="21"/>
          <w:lang w:val="zh-CN"/>
        </w:rPr>
        <w:t>日杭州市第十届人民代表大会常务委员会公告第</w:t>
      </w:r>
      <w:r w:rsidRPr="007C1156">
        <w:rPr>
          <w:rFonts w:ascii="楷体_GB2312" w:eastAsia="楷体_GB2312" w:hAnsi="黑体" w:cs="仿宋_GB2312"/>
          <w:bCs/>
          <w:color w:val="000000"/>
          <w:kern w:val="0"/>
          <w:szCs w:val="21"/>
          <w:lang w:val="zh-CN"/>
        </w:rPr>
        <w:t>10</w:t>
      </w:r>
      <w:r w:rsidRPr="007C1156">
        <w:rPr>
          <w:rFonts w:ascii="楷体_GB2312" w:eastAsia="楷体_GB2312" w:hAnsi="黑体" w:cs="仿宋_GB2312" w:hint="eastAsia"/>
          <w:bCs/>
          <w:color w:val="000000"/>
          <w:kern w:val="0"/>
          <w:szCs w:val="21"/>
          <w:lang w:val="zh-CN"/>
        </w:rPr>
        <w:t>号公布　自</w:t>
      </w:r>
      <w:r w:rsidRPr="007C1156">
        <w:rPr>
          <w:rFonts w:ascii="楷体_GB2312" w:eastAsia="楷体_GB2312" w:hAnsi="黑体" w:cs="仿宋_GB2312"/>
          <w:bCs/>
          <w:color w:val="000000"/>
          <w:kern w:val="0"/>
          <w:szCs w:val="21"/>
          <w:lang w:val="zh-CN"/>
        </w:rPr>
        <w:t>2003</w:t>
      </w:r>
      <w:r w:rsidRPr="007C1156">
        <w:rPr>
          <w:rFonts w:ascii="楷体_GB2312" w:eastAsia="楷体_GB2312" w:hAnsi="黑体" w:cs="仿宋_GB2312" w:hint="eastAsia"/>
          <w:bCs/>
          <w:color w:val="000000"/>
          <w:kern w:val="0"/>
          <w:szCs w:val="21"/>
          <w:lang w:val="zh-CN"/>
        </w:rPr>
        <w:t>年</w:t>
      </w:r>
      <w:r w:rsidRPr="007C1156">
        <w:rPr>
          <w:rFonts w:ascii="楷体_GB2312" w:eastAsia="楷体_GB2312" w:hAnsi="黑体" w:cs="仿宋_GB2312"/>
          <w:bCs/>
          <w:color w:val="000000"/>
          <w:kern w:val="0"/>
          <w:szCs w:val="21"/>
          <w:lang w:val="zh-CN"/>
        </w:rPr>
        <w:t>8</w:t>
      </w:r>
      <w:r w:rsidRPr="007C1156">
        <w:rPr>
          <w:rFonts w:ascii="楷体_GB2312" w:eastAsia="楷体_GB2312" w:hAnsi="黑体" w:cs="仿宋_GB2312" w:hint="eastAsia"/>
          <w:bCs/>
          <w:color w:val="000000"/>
          <w:kern w:val="0"/>
          <w:szCs w:val="21"/>
          <w:lang w:val="zh-CN"/>
        </w:rPr>
        <w:t>月</w:t>
      </w:r>
      <w:r w:rsidRPr="007C1156">
        <w:rPr>
          <w:rFonts w:ascii="楷体_GB2312" w:eastAsia="楷体_GB2312" w:hAnsi="黑体" w:cs="仿宋_GB2312"/>
          <w:bCs/>
          <w:color w:val="000000"/>
          <w:kern w:val="0"/>
          <w:szCs w:val="21"/>
          <w:lang w:val="zh-CN"/>
        </w:rPr>
        <w:t>1</w:t>
      </w:r>
      <w:r w:rsidRPr="007C1156">
        <w:rPr>
          <w:rFonts w:ascii="楷体_GB2312" w:eastAsia="楷体_GB2312" w:hAnsi="黑体" w:cs="仿宋_GB2312" w:hint="eastAsia"/>
          <w:bCs/>
          <w:color w:val="000000"/>
          <w:kern w:val="0"/>
          <w:szCs w:val="21"/>
          <w:lang w:val="zh-CN"/>
        </w:rPr>
        <w:t>日起施行）</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加强土地管理，保护、开发和合理利用土地资源，促进全市经济和社会可持续发展，根据《中华人民共和国土地管理法》、《中华人民共和国城市房地产管理法》、《基本农田保护条例》和《浙江省实施〈中华人民共和国土地管理法〉办法》等法律法规，结合本市实际，制定本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本规定适用于杭州市行政区域内的土地保护、开发、利用和管理。</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市土地行政主管部门负责全市的土地管理和监督工作。</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各县（市）土地行政主管部门负责本行政区域内的土地管理和监督工作。</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各区土地行政主管部门的职责，按省、市人民政府有关规定</w:t>
      </w:r>
      <w:r w:rsidRPr="006A0DDD">
        <w:rPr>
          <w:rFonts w:asciiTheme="minorEastAsia" w:hAnsiTheme="minorEastAsia" w:cs="仿宋_GB2312" w:hint="eastAsia"/>
          <w:color w:val="000000"/>
          <w:kern w:val="0"/>
          <w:szCs w:val="21"/>
          <w:lang w:val="zh-CN"/>
        </w:rPr>
        <w:lastRenderedPageBreak/>
        <w:t>执行。</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计划、建设、规划、房产、农业、林业、人民防空等行政主管部门按各自职责，协助土地行政主管部门做好土地管理和监督工作。</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市、县（市）人民政府应当加强土地管理工作，切实保护耕地，有效控制新增建设用地总体规模，确保耕地的质量和保有量，防止国有土地资产流失。</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市、县（市）人民政府应当组织计划、建设、规划、土地、农业等行政主管部门，根据土地利用总体规划、城市总体规划、国民经济和社会发展五年计划，编制并实施城市建设用地近期规划。</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城市建设用地近期规划应当确定近五年的建设用地范围。市、县（市）规划行政主管部门负责做好城市建设用地近期规划区域内的详细规划。</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编制城市建设用地近期规划，应当严格保护耕地，确需使用基本农田的，由市、县（市）人民政府依法报经批准后调整为规划建设用地。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城市建设用地近期规划应当报市、县（市）人民代表大会常务委员会备案。</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城市建设用地近期</w:t>
      </w:r>
      <w:proofErr w:type="gramStart"/>
      <w:r w:rsidRPr="006A0DDD">
        <w:rPr>
          <w:rFonts w:asciiTheme="minorEastAsia" w:hAnsiTheme="minorEastAsia" w:cs="仿宋_GB2312" w:hint="eastAsia"/>
          <w:color w:val="000000"/>
          <w:kern w:val="0"/>
          <w:szCs w:val="21"/>
          <w:lang w:val="zh-CN"/>
        </w:rPr>
        <w:t>规划按</w:t>
      </w:r>
      <w:proofErr w:type="gramEnd"/>
      <w:r w:rsidRPr="006A0DDD">
        <w:rPr>
          <w:rFonts w:asciiTheme="minorEastAsia" w:hAnsiTheme="minorEastAsia" w:cs="仿宋_GB2312" w:hint="eastAsia"/>
          <w:color w:val="000000"/>
          <w:kern w:val="0"/>
          <w:szCs w:val="21"/>
          <w:lang w:val="zh-CN"/>
        </w:rPr>
        <w:t>年度计划实施。市、县（市）人民政府应当根据土地利用总体规划、城市建设用地近期规划、国民经济和社会发展五年计划编制土地利用年度计划。</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lastRenderedPageBreak/>
        <w:t xml:space="preserve">　　</w:t>
      </w:r>
      <w:r w:rsidRPr="007C1156">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乡（镇）人民政府应当统一编制本区域范围内的土地利用总体规划、村庄和集镇建设规划、基本农田保护规划，根据土地使用条件，确定每一块土地的用途，并经依法批准后予以公告。</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全市各类建设项目用地应当按照土地利用总体规划、土地利用年度计划和城市建设用地近期规划依法办理用地审批手续。</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建设用地单位和个人按规定缴纳建设用地相关费用。</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城市规划区范围内的农村建制，经依法批准予以撤销，建立城市居民建制的，原所属集体所有土地全部转为国有土地，并参照征用集体所有土地的补偿标准进行补偿。</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农村建制被撤销后，在城市总体规划和土地利用总体规划确定的建设用地范围内，可以留出一定比例的土地，用于当地集体经济组织从事生产经营、安置人员生产及生活。根据土地利用总体规划、土地利用年度计划和城市建设用地近期规划可转为建设用地的农用地，由土地行政主管部门组织收购，统一纳入政府土地储备库。</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根据土地利用总体规划、土地利用年度计划和城市建设用地近期规划</w:t>
      </w:r>
      <w:proofErr w:type="gramStart"/>
      <w:r w:rsidRPr="006A0DDD">
        <w:rPr>
          <w:rFonts w:asciiTheme="minorEastAsia" w:hAnsiTheme="minorEastAsia" w:cs="仿宋_GB2312" w:hint="eastAsia"/>
          <w:color w:val="000000"/>
          <w:kern w:val="0"/>
          <w:szCs w:val="21"/>
          <w:lang w:val="zh-CN"/>
        </w:rPr>
        <w:t>不</w:t>
      </w:r>
      <w:proofErr w:type="gramEnd"/>
      <w:r w:rsidRPr="006A0DDD">
        <w:rPr>
          <w:rFonts w:asciiTheme="minorEastAsia" w:hAnsiTheme="minorEastAsia" w:cs="仿宋_GB2312" w:hint="eastAsia"/>
          <w:color w:val="000000"/>
          <w:kern w:val="0"/>
          <w:szCs w:val="21"/>
          <w:lang w:val="zh-CN"/>
        </w:rPr>
        <w:t>转为建设用地的农用地以及政府收购后未安排建设使用的土地，原耕种人可以继续耕种；原耕种人不愿继续耕种的，由区、县（市）人民政府组织耕种，其收益归耕种人所有。</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市、县（市）人民政府应当把城市建设用地近期规</w:t>
      </w:r>
      <w:r w:rsidRPr="006A0DDD">
        <w:rPr>
          <w:rFonts w:asciiTheme="minorEastAsia" w:hAnsiTheme="minorEastAsia" w:cs="仿宋_GB2312" w:hint="eastAsia"/>
          <w:color w:val="000000"/>
          <w:kern w:val="0"/>
          <w:szCs w:val="21"/>
          <w:lang w:val="zh-CN"/>
        </w:rPr>
        <w:lastRenderedPageBreak/>
        <w:t>划和土地利用年度计划的执行情况列为国民经济和社会发展计划执行情况的内容，向同级人民代表大会报告。</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市、县（市）人民政府应当建立社会保障制度，妥善安置被征地的农业人口。</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市区征用集体所有土地，由各区人民政府具体负责实施。</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被征地的农业人口，可以采取社会保险安置、货币安置等多种方式进行安置。已经安置的被征地农业人口，在再次征地计算农业人口时，不得重复计算。</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征地补偿安置办法，由市、县（市）人民政府依法</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具体规定。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非农业建设项目占用耕地的，建设单位应当负责开垦与所占用耕地同等面积、同等质量的耕地；没有条件开垦耕地、开垦耕地不足或不合格的，建设单位应当按规定向市、县（市）土地行政主管部门缴纳耕地开垦费。</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加强对农业用地的保护，不得破坏耕地的种植条件。经市、县（市）农业行政主管部门鉴定，耕地种植条件被破坏的，同级土地行政主管部门应当责令当事人恢复种植条件；不能恢复的，应当责令其限期开垦与被破坏耕地同等面积、同等质量的耕地；没有条件开垦、开垦不足或不合格的，应当责令其按规定缴纳耕地开垦费。</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各级人民政府应当根据土地利用总体规划和城市建设用地近期规划编制土地开发整理专项规划，组织农村集体经</w:t>
      </w:r>
      <w:r w:rsidRPr="006A0DDD">
        <w:rPr>
          <w:rFonts w:asciiTheme="minorEastAsia" w:hAnsiTheme="minorEastAsia" w:cs="仿宋_GB2312" w:hint="eastAsia"/>
          <w:color w:val="000000"/>
          <w:kern w:val="0"/>
          <w:szCs w:val="21"/>
          <w:lang w:val="zh-CN"/>
        </w:rPr>
        <w:lastRenderedPageBreak/>
        <w:t>济组织或使用人进行土地开发整理，有效补充耕地，改善农业生产条件和生态环境。</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市、县（市）土地行政主管部门会同农业等行政主管部门负责对耕地补充情况及土地开发整理项目完成情况及时进行验收。</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其他单位和个人投资土地开发整理。土地整理后的新增有效耕地，可以按规定由投资人在不改变用途的情况下使用；按规定折抵建设用地占用耕地的补偿指标，可以实行有偿调剂使用，在同等条件下可优先安排投资人使用。</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土地开发整理所需资金，由负责开发整理的单位和个人承担，市、县（市）人民政府可以从造地改田专项资金中给予适当补助。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因实施城市规划或土地开发整理需要调整宅基地及工业用地的，应在经批准的规划农村居住点及工业园区内集中安排。</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市、县（市）人民政府应当建立土地储备制度，有效调控土地市场。</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下列国有土地，由市、县（市）土地行政主管部门根据土地储备计划组织储备：</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（一）市区范围内无使用权人的土地；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（二）土地使用期限已满依法收回的国有土地；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（三）依法收回的荒芜、闲置的国有土地；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（四）因依法没收地上建筑物、构筑物而收回的国有土地；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（五）因使用权人搬迁、解散、撤销、破产等原因停止使用</w:t>
      </w:r>
      <w:r w:rsidRPr="006A0DDD">
        <w:rPr>
          <w:rFonts w:asciiTheme="minorEastAsia" w:hAnsiTheme="minorEastAsia" w:cs="仿宋_GB2312" w:hint="eastAsia"/>
          <w:color w:val="000000"/>
          <w:kern w:val="0"/>
          <w:szCs w:val="21"/>
          <w:lang w:val="zh-CN"/>
        </w:rPr>
        <w:lastRenderedPageBreak/>
        <w:t>的原划拨的国有土地；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（六）因实施城市规划进行旧城区改建，确需储备的土地；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（七）农村建制被撤销后可用于建设的土地；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（八）法律、法规规定的其他需要进行储备的土地。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前款第（一）项至第（五）项由土地行政主管部门报经有批准权的人民政府批准后依法收回；第（六）项至第（八）项由土地行政主管部门报经有批准权的人民政府批准后依法收回并予以补偿。</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纳入政府土地储备范围内需要储备的国有土地使用权的补偿标准，由市、县（市）人民政府依法</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具体规定。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集体所有土地或农用地需要储备的，应当依法办理土地征用及农用地转用审批手续。储备土地应依法办理土地变更登记手续。</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市、县（市）人民政府应当根据国民经济和社会发展五年计划、区域产业结构调整和城市建设规划、土地利用年度计划，制定土地储备计划和土地供应计划。</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除依法可以划拨方式供应土地使用权外，市、县（市）土地行政主管部门按下列方式供应国有土地使用权：</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（一）商业、旅游、娱乐和商品住宅等各类经营性用地，应当以招标、拍卖或者挂牌方式出让；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（二）有偿使用西湖风景名胜保护区内土地的，应当以国有土地租赁方式供应；</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（三）依法独立使用的经营性地下空间，应当实行土地有偿</w:t>
      </w:r>
      <w:r w:rsidRPr="006A0DDD">
        <w:rPr>
          <w:rFonts w:asciiTheme="minorEastAsia" w:hAnsiTheme="minorEastAsia" w:cs="仿宋_GB2312" w:hint="eastAsia"/>
          <w:color w:val="000000"/>
          <w:kern w:val="0"/>
          <w:szCs w:val="21"/>
          <w:lang w:val="zh-CN"/>
        </w:rPr>
        <w:lastRenderedPageBreak/>
        <w:t>使用。</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其他用途的土地供地计划公布后，同一宗地有两个以上用地申请人的，也应当以招标、拍卖或者挂牌方式出让。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因特殊情况确需以协议方式供地的，应当经市、县（市）人民政府批准同意。</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国有土地使用权转让、出租、抵押及改变用途应当遵守下列规定：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（一）以出让方式取得的土地使用权的首次转让（商品房预售除外）必须符合法律法规和土地使用权出让合同约定的条件，出让合同履行情况由市、县（市）土地行政主管部门审查；</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以招标、拍卖、挂牌出让方式取得使用权的土地，确需改变用途或提高容积率的，应当经市、县（市）计划、规划、土地行政主管部门批准；以协议出让方式取得使用权的土地，确需改变用途或提高容积率的，由市、县（市）计划、规划、土地行政主管部门提出意见后，报经同级人民政府批准。市、县（市）土地行政主管部门应当补充签订土地使用权出让合同，相应调整土地使用权出让金。调整土地使用权出让金的具体办法，由市人民政府依法</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（三）以租赁方式取得的国有土地使用权改变用途、出租或转让的，应当经市、县（市）土地、规划行政主管部门批准；</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（四）以划拨方式取得的土地使用权改变用途或转让、出租，不再属于划拨土地供地范围的，应当经原立项审批部门同意后，</w:t>
      </w:r>
      <w:r w:rsidRPr="006A0DDD">
        <w:rPr>
          <w:rFonts w:asciiTheme="minorEastAsia" w:hAnsiTheme="minorEastAsia" w:cs="仿宋_GB2312" w:hint="eastAsia"/>
          <w:color w:val="000000"/>
          <w:kern w:val="0"/>
          <w:szCs w:val="21"/>
          <w:lang w:val="zh-CN"/>
        </w:rPr>
        <w:lastRenderedPageBreak/>
        <w:t>经市、县（市）土地、规划行政主管部门或有批准权的人民政府批准并办理土地有偿使用手续；</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（五）为实现抵押权需转让以出让方式取得的土地使用权的，应依法向市、县（市）土地行政主管部门申请办理土地变更登记手续。</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市、县（市）土地行政主管部门应当建立有形土地市场，实行土地使用权公开交易。</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下列土地使用权的交易应在有形土地市场由土地行政主管部门通过招标、拍卖或挂牌方式公开进行：</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（一）经营性房地产项目用地的出让；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（二）经公示后同一宗地有多个用地申请人的非工业经营性项目用地的出让；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（三）未列入政府土地储备计划，但属于本规定第十六条规定范围内的土地使用权转让；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（四）以协议方式取得的土地使用权的首次转让；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（五）不符合划拨供地目录的原划拨土地使用权的出让、转让（住宅除外）；</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（六）司法裁定需拍卖、变卖用于清偿债务的土地使用权的转让；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（七）为实现抵押权进行的土地使用权的转让；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（八）农村集体所有的建设用地使用权的依法流转；</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（九）法律、法规规定的其他情形。</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有形土地市场交易的具体办法，由市、县（市）人民政府另行规定。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土地使用权转让申报价格低于标定地价百分之二十（含）以上的，在同等条件下，市、县（市）人民政府有优先购买权。</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城市建设用地近期规划范围内的农村居住点内除城市规划有特殊要求外，应当建造多层公寓，不得建造多户联体式住宅；其他集镇规划农村居住点内鼓励建造多层公寓和多户联体式住宅。</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市、县（市）人民政府应当制定优惠措施，鼓励农村村民建造多层公寓。</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农村村民出租、出卖或者以其他形式转让住房，再申请宅基地的，不予批准。村民宅基地经批准后连续两年未建成住房的，宅基地批准文件失效；仍需建房的，应当重新申请宅基地。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农村宅基地面积标准，由市、县（市）人民政府</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具体规定。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除村民</w:t>
      </w:r>
      <w:proofErr w:type="gramEnd"/>
      <w:r w:rsidRPr="006A0DDD">
        <w:rPr>
          <w:rFonts w:asciiTheme="minorEastAsia" w:hAnsiTheme="minorEastAsia" w:cs="仿宋_GB2312" w:hint="eastAsia"/>
          <w:color w:val="000000"/>
          <w:kern w:val="0"/>
          <w:szCs w:val="21"/>
          <w:lang w:val="zh-CN"/>
        </w:rPr>
        <w:t>住宅用地、乡（镇）村公共设施和公益事业用地外，乡（镇）土地利用总体规划确定的农村集体所有的建设用地，可以由农村集体经济组织依法实行有偿使用。</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农村集体所有的建设用地有偿使用的办法，由市人民政府另行规定。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lastRenderedPageBreak/>
        <w:t xml:space="preserve">　　</w:t>
      </w:r>
      <w:r w:rsidRPr="007C1156">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以承包集体所有的荒地的土地使用权或乡（镇）村办企业的厂房等建筑物及其占用范围内的土地使用权设定抵押时，应当经农村集体经济组织依法征得村民同意并出具书面证明。书面证明应明确下列内容：</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（一）实现抵押权时，需要征用土地的，同意依法办理集体所有土地征用手续；</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（二）土地使用人已给予土地补偿的情况。</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国有土地使用权出让、转让的，应当依法进行地价评估。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市、县（市）人民政府应当定期向社会公布基准地价、标定地价、协议出让最低价等地价标准。</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地价标准应当根据经济和社会发展情况、土地的供求状况适时调整。</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协议出让国有土地使用权，土地使用权出让金不得低于市、县（市）人民政府公布的最低地价标准。</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下列土地权利，相关权利人应依法申报，经县级以上人民政府土地行政主管部门审核，由同级人民政府登记发证：</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（一）集体土地所有权；</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（二）国有土地使用权；</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（三）集体土地使用权；</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（四）依法独立使用的地下空间；</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（五）其他应当依法审核登记的土地权利。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法律、法规对登记发证另有规定的，从其规定。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土地使用权人应严格按照土地证书规定的土地用途、面积及条件使用土地。</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未依法进行权属登记的土地使用权，不得转让、出租和抵押。</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改变土地权属的，应向市、县（市）土地行政主管部门申请办理土地变更登记。土地权属变更，自土地变更登记之日起生效。</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建设项目依法使用农村集体所有土地的，土地的所有权不变，使用权确认给土地使用者。</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依法以农村集体所有的建设用地的使用权作为联营条件或作价入股组建联营或股份制企业的，土地的所有权不变，使用权确认给联营或股份制企业。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建设工程竣工后，土地行政主管部门应当进行建设用地复核验收，对土地使用情况进行监督检查。</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建设单位应当配合土地行政主管部门的复核验收工作，不得拒绝或妨碍建设用地复核验收。</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房地产建设用地复核验收合格，市、县（市）土地行政主管部门应当对销售房屋相关的土地使用权进行分割登记，向建设单位发放土地分割登记证明。房屋买受人凭相应的土地分割登记证明办理土地使用权变更登记手续。</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有关机关依法查封土地使用权的，查封期满后</w:t>
      </w:r>
      <w:r w:rsidRPr="006A0DDD">
        <w:rPr>
          <w:rFonts w:asciiTheme="minorEastAsia" w:hAnsiTheme="minorEastAsia" w:cs="仿宋_GB2312" w:hint="eastAsia"/>
          <w:color w:val="000000"/>
          <w:kern w:val="0"/>
          <w:szCs w:val="21"/>
          <w:lang w:val="zh-CN"/>
        </w:rPr>
        <w:lastRenderedPageBreak/>
        <w:t>应当及时予以解封。</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土地使用权出让金等土地收益，应当列入市、县（市）的财政预算，并应当专项用于城市基础设施建设、土地的开发和被征地农业人口的安置补助。</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市、县（市）人民政府应当从土地收益中留出一定比例的资金作为土地开发周转金，也可以通过其他方式募集资金，专项用于土地收购储备。</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土地行政主管部门应当建立健全土地信息系统，对土地利用现状进行动态信息管理及监测，并定期发布土地信息。</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土地信息发布的内容包括耕地占补平衡土地等级以及基准地价、地价标准、土地供应计划、已批准建设用地、土地储备及招标拍卖、土地市场交易和政府供地限制目录信息等。</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土地行政主管部门应当加强对用地情况的监督检查，发现违法用地的行为，应当及时制止。对依法制止后继续实施违法用地行为的单位和个人，土地行政主管部门可依法对其使用的工具、设备、建筑材料予以查封、扣押；对继续违法抢建部分的建筑物和其他设施，土地行政主管部门有权予以拆除，拆除费用由违法行为人承担。</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建设用地单位和个人擅自进行征地补偿、安置的，由土地行政主管部门责令改正，并处以一万元以上十万元以下的罚款。</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国有土地使用人未按出让合同约定支付土地使用</w:t>
      </w:r>
      <w:r w:rsidRPr="006A0DDD">
        <w:rPr>
          <w:rFonts w:asciiTheme="minorEastAsia" w:hAnsiTheme="minorEastAsia" w:cs="仿宋_GB2312" w:hint="eastAsia"/>
          <w:color w:val="000000"/>
          <w:kern w:val="0"/>
          <w:szCs w:val="21"/>
          <w:lang w:val="zh-CN"/>
        </w:rPr>
        <w:lastRenderedPageBreak/>
        <w:t>权出让金的，土地行政主管部门有权解除合同，收回提供出让的土地，并可要求违约赔偿。其建造的地上建筑物、其他附着物不予补偿。</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破坏耕地种植条件，逾期不恢复、不开垦或者开垦耕地不足或不合格的，由土地行政主管部门处以所需开垦耕地的开垦费一倍以上二倍以下的罚款。</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应当以招标、拍卖或挂牌方式出让国有土地使用权而擅自采用协议方式出让的，对直接负责的主管人员和其他直接责任人员依法给予行政处分。</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国家机关工作人员营私舞弊、玩忽职守的，依法给予行政处分；构成犯罪的，依法追究刑事责任。</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本规定所称城市建设用地近期规划，是指市、县（市）人民政府依据国民经济和社会发展五年计划、土地利用总体规划、城市总体规划，根据城市化、区域产业结构布局和城市建设顺利实施的需要，合理确定近期城市重点发展区域和用地布局，统筹安排各业建设用地而编制的近五年内城市建设范围内的具体用地规划。</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规定所称挂牌出让国有土地使用权，是指出让人发布挂牌公告，按公告规定的期限将拟出让宗地的交易条件在指定的土地交易场所挂牌公布，接受竞买人的报价申请并更新挂牌价格，根据挂牌期限截止时的出价结果确定土地使用人的行为。</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本规定所称土地使用权转让，包括土地使用权买卖、赠与、</w:t>
      </w:r>
      <w:r w:rsidRPr="006A0DDD">
        <w:rPr>
          <w:rFonts w:asciiTheme="minorEastAsia" w:hAnsiTheme="minorEastAsia" w:cs="仿宋_GB2312" w:hint="eastAsia"/>
          <w:color w:val="000000"/>
          <w:kern w:val="0"/>
          <w:szCs w:val="21"/>
          <w:lang w:val="zh-CN"/>
        </w:rPr>
        <w:lastRenderedPageBreak/>
        <w:t>交换的行为。</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本规定所称土地有偿使用，包括国有土地使用权出让、国有土地使用权租赁、国有土地使用权作价出资或者入股。</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依法按国有土地使用权租赁、国有土地使用权作价出资或者入股方式实行土地有偿使用的，参照适用本规定关于以出让方式取得的土地使用权的有关规定。</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本规定所称土地收益，是指政府通过国有土地使用权出让、租赁、作价出资或者入股等方式获得的土地使用权出让金等有偿使用费用。</w:t>
      </w:r>
    </w:p>
    <w:p w:rsidR="007C1156" w:rsidRPr="006A0DDD" w:rsidRDefault="007C1156" w:rsidP="007C1156">
      <w:pPr>
        <w:autoSpaceDE w:val="0"/>
        <w:autoSpaceDN w:val="0"/>
        <w:adjustRightInd w:val="0"/>
        <w:jc w:val="left"/>
        <w:rPr>
          <w:rFonts w:asciiTheme="minorEastAsia" w:hAnsiTheme="minorEastAsia" w:cs="仿宋_GB2312"/>
          <w:color w:val="000000"/>
          <w:kern w:val="0"/>
          <w:szCs w:val="21"/>
          <w:lang w:val="zh-CN"/>
        </w:rPr>
      </w:pPr>
      <w:r w:rsidRPr="007C1156">
        <w:rPr>
          <w:rFonts w:asciiTheme="minorEastAsia" w:eastAsia="黑体" w:hAnsiTheme="minorEastAsia" w:cs="仿宋_GB2312" w:hint="eastAsia"/>
          <w:color w:val="000000"/>
          <w:kern w:val="0"/>
          <w:szCs w:val="21"/>
          <w:lang w:val="zh-CN"/>
        </w:rPr>
        <w:t xml:space="preserve">　　</w:t>
      </w:r>
      <w:r w:rsidRPr="007C1156">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本规定自</w:t>
      </w:r>
      <w:r w:rsidRPr="006A0DDD">
        <w:rPr>
          <w:rFonts w:asciiTheme="minorEastAsia" w:hAnsiTheme="minorEastAsia" w:cs="仿宋_GB2312"/>
          <w:color w:val="000000"/>
          <w:kern w:val="0"/>
          <w:szCs w:val="21"/>
          <w:lang w:val="zh-CN"/>
        </w:rPr>
        <w:t>2003</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8</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r w:rsidRPr="006A0DDD">
        <w:rPr>
          <w:rFonts w:asciiTheme="minorEastAsia" w:hAnsiTheme="minorEastAsia" w:cs="仿宋_GB2312"/>
          <w:color w:val="000000"/>
          <w:kern w:val="0"/>
          <w:szCs w:val="21"/>
          <w:lang w:val="zh-CN"/>
        </w:rPr>
        <w:t>1990</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14</w:t>
      </w:r>
      <w:r w:rsidRPr="006A0DDD">
        <w:rPr>
          <w:rFonts w:asciiTheme="minorEastAsia" w:hAnsiTheme="minorEastAsia" w:cs="仿宋_GB2312" w:hint="eastAsia"/>
          <w:color w:val="000000"/>
          <w:kern w:val="0"/>
          <w:szCs w:val="21"/>
          <w:lang w:val="zh-CN"/>
        </w:rPr>
        <w:t>日杭州市人民政府发布、</w:t>
      </w:r>
      <w:r w:rsidRPr="006A0DDD">
        <w:rPr>
          <w:rFonts w:asciiTheme="minorEastAsia" w:hAnsiTheme="minorEastAsia" w:cs="仿宋_GB2312"/>
          <w:color w:val="000000"/>
          <w:kern w:val="0"/>
          <w:szCs w:val="21"/>
          <w:lang w:val="zh-CN"/>
        </w:rPr>
        <w:t>1997</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12</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日经市政府第</w:t>
      </w:r>
      <w:r w:rsidRPr="006A0DDD">
        <w:rPr>
          <w:rFonts w:asciiTheme="minorEastAsia" w:hAnsiTheme="minorEastAsia" w:cs="仿宋_GB2312"/>
          <w:color w:val="000000"/>
          <w:kern w:val="0"/>
          <w:szCs w:val="21"/>
          <w:lang w:val="zh-CN"/>
        </w:rPr>
        <w:t>120</w:t>
      </w:r>
      <w:r w:rsidRPr="006A0DDD">
        <w:rPr>
          <w:rFonts w:asciiTheme="minorEastAsia" w:hAnsiTheme="minorEastAsia" w:cs="仿宋_GB2312" w:hint="eastAsia"/>
          <w:color w:val="000000"/>
          <w:kern w:val="0"/>
          <w:szCs w:val="21"/>
          <w:lang w:val="zh-CN"/>
        </w:rPr>
        <w:t>号令修订的《杭州市实施土地管理法</w:t>
      </w:r>
      <w:bookmarkStart w:id="0" w:name="_GoBack"/>
      <w:bookmarkEnd w:id="0"/>
      <w:r w:rsidRPr="006A0DDD">
        <w:rPr>
          <w:rFonts w:asciiTheme="minorEastAsia" w:hAnsiTheme="minorEastAsia" w:cs="仿宋_GB2312" w:hint="eastAsia"/>
          <w:color w:val="000000"/>
          <w:kern w:val="0"/>
          <w:szCs w:val="21"/>
          <w:lang w:val="zh-CN"/>
        </w:rPr>
        <w:t>若干问题的规定》（市政府令第</w:t>
      </w:r>
      <w:r w:rsidRPr="006A0DDD">
        <w:rPr>
          <w:rFonts w:asciiTheme="minorEastAsia" w:hAnsiTheme="minorEastAsia" w:cs="仿宋_GB2312"/>
          <w:color w:val="000000"/>
          <w:kern w:val="0"/>
          <w:szCs w:val="21"/>
          <w:lang w:val="zh-CN"/>
        </w:rPr>
        <w:t>10</w:t>
      </w:r>
      <w:r w:rsidRPr="006A0DDD">
        <w:rPr>
          <w:rFonts w:asciiTheme="minorEastAsia" w:hAnsiTheme="minorEastAsia" w:cs="仿宋_GB2312" w:hint="eastAsia"/>
          <w:color w:val="000000"/>
          <w:kern w:val="0"/>
          <w:szCs w:val="21"/>
          <w:lang w:val="zh-CN"/>
        </w:rPr>
        <w:t>号）同时废止。</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AE" w:rsidRDefault="00655BAE" w:rsidP="00D57722">
      <w:pPr>
        <w:spacing w:line="240" w:lineRule="auto"/>
      </w:pPr>
      <w:r>
        <w:separator/>
      </w:r>
    </w:p>
  </w:endnote>
  <w:endnote w:type="continuationSeparator" w:id="0">
    <w:p w:rsidR="00655BAE" w:rsidRDefault="00655BA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C1156">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C1156" w:rsidRPr="007C1156">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AE" w:rsidRDefault="00655BAE" w:rsidP="00D57722">
      <w:pPr>
        <w:spacing w:line="240" w:lineRule="auto"/>
      </w:pPr>
      <w:r>
        <w:separator/>
      </w:r>
    </w:p>
  </w:footnote>
  <w:footnote w:type="continuationSeparator" w:id="0">
    <w:p w:rsidR="00655BAE" w:rsidRDefault="00655BA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655BAE"/>
    <w:rsid w:val="007C1156"/>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14</Pages>
  <Words>1013</Words>
  <Characters>5780</Characters>
  <Application>Microsoft Office Word</Application>
  <DocSecurity>0</DocSecurity>
  <Lines>48</Lines>
  <Paragraphs>13</Paragraphs>
  <ScaleCrop>false</ScaleCrop>
  <Company>Microsoft</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