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3F4B32">
        <w:rPr>
          <w:rFonts w:ascii="Times New Roman" w:eastAsia="宋体" w:hAnsi="Times New Roman" w:cs="宋体" w:hint="eastAsia"/>
          <w:sz w:val="44"/>
          <w:szCs w:val="44"/>
        </w:rPr>
        <w:t>江苏省民兵预备役工作条例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leftChars="200" w:left="640" w:rightChars="200" w:right="640" w:firstLineChars="0" w:firstLine="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（</w:t>
      </w:r>
      <w:r w:rsidRPr="003F4B32">
        <w:rPr>
          <w:rFonts w:ascii="Times New Roman" w:eastAsia="楷体_GB2312" w:hAnsi="Times New Roman" w:cs="Times New Roman"/>
        </w:rPr>
        <w:t>2001</w:t>
      </w:r>
      <w:r w:rsidRPr="003F4B32">
        <w:rPr>
          <w:rFonts w:ascii="Times New Roman" w:eastAsia="楷体_GB2312" w:hAnsi="Times New Roman" w:cs="楷体_GB2312" w:hint="eastAsia"/>
        </w:rPr>
        <w:t>年</w:t>
      </w:r>
      <w:r w:rsidRPr="003F4B32">
        <w:rPr>
          <w:rFonts w:ascii="Times New Roman" w:eastAsia="楷体_GB2312" w:hAnsi="Times New Roman" w:cs="Times New Roman"/>
        </w:rPr>
        <w:t>12</w:t>
      </w:r>
      <w:r w:rsidRPr="003F4B32">
        <w:rPr>
          <w:rFonts w:ascii="Times New Roman" w:eastAsia="楷体_GB2312" w:hAnsi="Times New Roman" w:cs="楷体_GB2312" w:hint="eastAsia"/>
        </w:rPr>
        <w:t>月</w:t>
      </w:r>
      <w:r w:rsidRPr="003F4B32">
        <w:rPr>
          <w:rFonts w:ascii="Times New Roman" w:eastAsia="楷体_GB2312" w:hAnsi="Times New Roman" w:cs="Times New Roman"/>
        </w:rPr>
        <w:t>27</w:t>
      </w:r>
      <w:r w:rsidRPr="003F4B32">
        <w:rPr>
          <w:rFonts w:ascii="Times New Roman" w:eastAsia="楷体_GB2312" w:hAnsi="Times New Roman" w:cs="楷体_GB2312" w:hint="eastAsia"/>
        </w:rPr>
        <w:t>日江苏省第九届人民代表大会常务委员会第二十七次会议通过）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目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录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第一章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总则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第二章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基层人民武装部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第三章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组织建设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第四章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政治工作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第五章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军事训练和战备执勤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第六章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武器装备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第七章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经费保障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第八章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法律责任</w:t>
      </w:r>
    </w:p>
    <w:p w:rsidR="00C375F4" w:rsidRPr="003F4B32" w:rsidRDefault="00C375F4" w:rsidP="003F4B32">
      <w:pPr>
        <w:ind w:firstLine="640"/>
        <w:rPr>
          <w:rFonts w:ascii="Times New Roman" w:eastAsia="楷体_GB2312" w:hAnsi="Times New Roman" w:cs="Times New Roman"/>
        </w:rPr>
      </w:pPr>
      <w:r w:rsidRPr="003F4B32">
        <w:rPr>
          <w:rFonts w:ascii="Times New Roman" w:eastAsia="楷体_GB2312" w:hAnsi="Times New Roman" w:cs="楷体_GB2312" w:hint="eastAsia"/>
        </w:rPr>
        <w:t>第九章</w:t>
      </w:r>
      <w:r w:rsidRPr="003F4B32">
        <w:rPr>
          <w:rFonts w:ascii="Times New Roman" w:eastAsia="楷体_GB2312" w:hAnsi="Times New Roman" w:cs="Times New Roman"/>
        </w:rPr>
        <w:t xml:space="preserve">  </w:t>
      </w:r>
      <w:r w:rsidRPr="003F4B32">
        <w:rPr>
          <w:rFonts w:ascii="Times New Roman" w:eastAsia="楷体_GB2312" w:hAnsi="Times New Roman" w:cs="楷体_GB2312" w:hint="eastAsia"/>
        </w:rPr>
        <w:t>附则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黑体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第一章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eastAsia="黑体" w:hAnsi="Times New Roman" w:cs="黑体" w:hint="eastAsia"/>
        </w:rPr>
        <w:t>总则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第一条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为做好民兵、预备役工作，加强国防后备力量建设，根据《中华人民共和国国防法》、《中华人民共和国兵役法》、《民兵工作条例》等法律、行政法规的规定，结合本省实际，制定本条例。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第二条</w:t>
      </w:r>
      <w:r w:rsidRPr="003F4B32">
        <w:rPr>
          <w:rFonts w:ascii="Times New Roman" w:eastAsia="黑体" w:hAnsi="Times New Roman" w:cs="Times New Roman"/>
        </w:rPr>
        <w:t xml:space="preserve"> </w:t>
      </w:r>
      <w:r w:rsidRPr="003F4B32">
        <w:rPr>
          <w:rFonts w:ascii="Times New Roman" w:hAnsi="Times New Roman" w:cs="Times New Roman"/>
        </w:rPr>
        <w:t xml:space="preserve"> </w:t>
      </w:r>
      <w:r w:rsidRPr="003F4B32">
        <w:rPr>
          <w:rFonts w:ascii="Times New Roman" w:hAnsi="Times New Roman" w:cs="仿宋_GB2312" w:hint="eastAsia"/>
        </w:rPr>
        <w:t>本条例适用于民兵、预备役部队和预备役人员。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民兵是指不脱离生产的群众武装组织，是国家武装力量的组成部分。预备役部队是指平时按照规定进行训练，战时根据国家发布的动员令转为现役部队的武装力量。预备役人员是指编入民兵组织、预备役部队的人员和未编入民兵组织、预备役部队但经过登记服预备役的人员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第三条</w:t>
      </w:r>
      <w:r w:rsidRPr="003F4B32">
        <w:rPr>
          <w:rFonts w:ascii="Times New Roman" w:eastAsia="黑体" w:hAnsi="Times New Roman" w:cs="Times New Roman"/>
        </w:rPr>
        <w:t xml:space="preserve"> </w:t>
      </w:r>
      <w:r w:rsidRPr="003F4B32">
        <w:rPr>
          <w:rFonts w:ascii="Times New Roman" w:hAnsi="Times New Roman" w:cs="Times New Roman"/>
        </w:rPr>
        <w:t xml:space="preserve"> </w:t>
      </w:r>
      <w:r w:rsidRPr="003F4B32">
        <w:rPr>
          <w:rFonts w:ascii="Times New Roman" w:hAnsi="Times New Roman" w:cs="仿宋_GB2312" w:hint="eastAsia"/>
        </w:rPr>
        <w:t>依法参加民兵组织和服预备役是公民的光荣义务。依法做好民兵、预备役工作，是机关、团体、企业事业单位以及其他组织的国防职责。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第四条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民兵、预备役工作应当适应新时期军事战略方针的要求，适应社会主义市场经济的需要，坚持平战结合，军民结合，注重质量建设。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第五条</w:t>
      </w:r>
      <w:r w:rsidRPr="003F4B32">
        <w:rPr>
          <w:rFonts w:ascii="Times New Roman" w:eastAsia="黑体" w:hAnsi="Times New Roman" w:cs="Times New Roman"/>
        </w:rPr>
        <w:t xml:space="preserve"> </w:t>
      </w:r>
      <w:r w:rsidRPr="003F4B32">
        <w:rPr>
          <w:rFonts w:ascii="Times New Roman" w:hAnsi="Times New Roman" w:cs="Times New Roman"/>
        </w:rPr>
        <w:t xml:space="preserve"> </w:t>
      </w:r>
      <w:r w:rsidRPr="003F4B32">
        <w:rPr>
          <w:rFonts w:ascii="Times New Roman" w:hAnsi="Times New Roman" w:cs="仿宋_GB2312" w:hint="eastAsia"/>
        </w:rPr>
        <w:t>地方各级人民政府应当加强对民兵、预备役工作的领导，统筹安排民兵、预备役工作，研究解决民兵、预备役工作中的有关问题，组织、监督有关部门和单位完成民兵、预备役工作任务。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第六条</w:t>
      </w:r>
      <w:r w:rsidRPr="003F4B32">
        <w:rPr>
          <w:rFonts w:ascii="Times New Roman" w:eastAsia="黑体" w:hAnsi="Times New Roman" w:cs="Times New Roman"/>
        </w:rPr>
        <w:t xml:space="preserve"> </w:t>
      </w:r>
      <w:r w:rsidRPr="003F4B32">
        <w:rPr>
          <w:rFonts w:ascii="Times New Roman" w:hAnsi="Times New Roman" w:cs="Times New Roman"/>
        </w:rPr>
        <w:t xml:space="preserve"> </w:t>
      </w:r>
      <w:r w:rsidRPr="003F4B32">
        <w:rPr>
          <w:rFonts w:ascii="Times New Roman" w:hAnsi="Times New Roman" w:cs="仿宋_GB2312" w:hint="eastAsia"/>
        </w:rPr>
        <w:t>省军区、军分区（警备区）、县（市、区）人民武装部（以下统称军事机关）在上级军事机关和同级人民政府领导下，负责办理本行政区域内的民兵、预备役工作。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第七条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在民兵、预备役工作中做出显著成绩的单位和个人，由军队或者县级以上人民政府和军事机关给予表彰、奖励。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黑体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第二章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eastAsia="黑体" w:hAnsi="Times New Roman" w:cs="黑体" w:hint="eastAsia"/>
        </w:rPr>
        <w:t>基层人民武装部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第八条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乡（镇）、街道人民武装部以及按照国家、省有关规定设立的企业事业单位人民武装部（以下统称基层人民武装部），负责本地区、本单位的民兵、预备役工作。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按规定不设立人民武装部的单位，应当确定一个部门并指定专人负责民兵、预备役工作。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第九条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基层人民武装部的设立、变更和撤销，由县（市、区）人民政府、县（市、区）人民武装部研究提出意见，报设区的市人民政府、军分区（警备区）决定。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基层人民武装部的职数、职位及人员编制、选配、任免，应当按照国家和省有关规定执行。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基层人民武装部专职人员的管理，实行上级军事机关和所在单位双重领导。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乡（镇）、街道专职从事人民武装工作的人员，参照国家公务员的有关规定执行。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企业事业单位专职从事人民武装工作的人员，其工资、福利等待遇，不低于本单位同级管理人员。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第十一条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设立人民武装部的企业事业单位的法定代表人或者主要负责人，经当地军事机关审查合格，按照任免权限和程序任命后，兼任本单位人民武装部第一部长。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黑体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第三章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eastAsia="黑体" w:hAnsi="Times New Roman" w:cs="黑体" w:hint="eastAsia"/>
        </w:rPr>
        <w:t>组织建设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第十二条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乡（镇）、街道、新区、开发区、社区应当按照规定建立民兵组织，其所建立的民兵组织必须报经县（市、区）人民武装部核准。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经县（市、区）人民武装部确定，适龄人员达到建立民兵排或者基干民兵班的企业事业单位，应当建立民兵组织。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未编入民兵组织且符合服兵役条件的男性公民，应当按照当地军事机关的要求，进行预备役登记。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第十三条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基干民兵单独编组。根据需要，可以在基干民兵中组建应急分队和专业技术分队。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市、县</w:t>
      </w:r>
      <w:r w:rsidRPr="003F4B32">
        <w:rPr>
          <w:rFonts w:ascii="Times New Roman" w:hAnsi="Times New Roman" w:cs="Times New Roman"/>
        </w:rPr>
        <w:t>(</w:t>
      </w:r>
      <w:r w:rsidRPr="003F4B32">
        <w:rPr>
          <w:rFonts w:ascii="Times New Roman" w:hAnsi="Times New Roman" w:cs="仿宋_GB2312" w:hint="eastAsia"/>
        </w:rPr>
        <w:t>市</w:t>
      </w:r>
      <w:r w:rsidRPr="003F4B32">
        <w:rPr>
          <w:rFonts w:ascii="Times New Roman" w:hAnsi="Times New Roman" w:cs="Times New Roman"/>
        </w:rPr>
        <w:t>)</w:t>
      </w:r>
      <w:r w:rsidRPr="003F4B32">
        <w:rPr>
          <w:rFonts w:ascii="Times New Roman" w:hAnsi="Times New Roman" w:cs="仿宋_GB2312" w:hint="eastAsia"/>
        </w:rPr>
        <w:t>人民政府所在地和沿海、沿江、沿湖、沿铁路、沿公路干线的乡（镇）以及重要目标所在地，按照军事机关的要求组建民兵应急分队。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高等院校、科研机构的附属企业事业单位，以及邮电通信、医疗卫生、工程机械、民航、气象和其他与军事专业相关的单位，组建民兵对口专业分队。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在高科技企业事业单位中，组建与军事专业有关的民兵对口专业分队。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第十四条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基干民兵、预备役部队人员离开户籍所在地超过三十天的，应当将本人的通信联系方式告知所属基层人民武装部或者预备役连，在接到召回通知后必须按时归队。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第十五条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行政村民兵营长由所在村提名，经乡（镇）人民武装部会同有关部门考察后任命，并报上一级军事机关备案。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企业事业单位民兵组织的军政主官，经当地军事机关审查合格后任命。企业事业单位民兵组织的军政主官，可以由本单位负责人兼任。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第十六条</w:t>
      </w:r>
      <w:r w:rsidRPr="003F4B32">
        <w:rPr>
          <w:rFonts w:ascii="Times New Roman" w:eastAsia="黑体" w:hAnsi="Times New Roman" w:cs="Times New Roman"/>
        </w:rPr>
        <w:t xml:space="preserve"> </w:t>
      </w:r>
      <w:r w:rsidRPr="003F4B32">
        <w:rPr>
          <w:rFonts w:ascii="Times New Roman" w:hAnsi="Times New Roman" w:cs="Times New Roman"/>
        </w:rPr>
        <w:t xml:space="preserve"> </w:t>
      </w:r>
      <w:r w:rsidRPr="003F4B32">
        <w:rPr>
          <w:rFonts w:ascii="Times New Roman" w:hAnsi="Times New Roman" w:cs="仿宋_GB2312" w:hint="eastAsia"/>
        </w:rPr>
        <w:t>基层人民武装部应当建立和执行民兵干部例会、民兵活动、武器擦拭保养等制度，对民兵组织每年必须进行一次整顿。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第十七条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乡（镇）、街道、企业事业单位应当按照军事机关的要求，加强基层人民武装部、民兵连（营）部、民兵活动室等基础设施建设。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第十八条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预备役部队的组织建设，预备役军官的选拔、管理、任免按照国家有关规定执行。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黑体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第四章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eastAsia="黑体" w:hAnsi="Times New Roman" w:cs="黑体" w:hint="eastAsia"/>
        </w:rPr>
        <w:t>政治工作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第十九条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地方各级人民政府、军事机关和基层人民武装部，应当按照发展社会主义市场经济和加强国防建设的要求，开展民兵、预备役政治工作。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基层人民武装部应当会同有关部门，参照征集新兵的标准，对拟编入民兵组织、预备役部队的人员进行政治审查；对已经编入民兵组织、预备役部队的人员进行政治考察。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第二十一条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民兵预备役人员平时的政治教育，应当以民兵干部、基干民兵和预备役部队官兵为重点对象。基干民兵、预备役部队官兵每年集中进行政治教育的时间不少于十六课时。普通民兵的政治教育，结合组织整顿、征兵和重大节日活动等时机进行，每年不少于两次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民兵、预备役部队训练期间的政治教育应当纳入训练计划，统一安排和组织实施。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县（市、区）人民武装部和预备役团分别负责对民兵、预备役部队官兵政治教育进行检查和考核。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黑体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第五章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eastAsia="黑体" w:hAnsi="Times New Roman" w:cs="黑体" w:hint="eastAsia"/>
        </w:rPr>
        <w:t>军事训练和战备执勤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第二十二条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民兵、预备役部队年度军事训练任务，由省、市、县（市、区）人民政府和同级军事机关逐级下达，乡（镇）人民政府、街道办事处、企业事业单位应当按照规定保证参加训练人员的训练时间。确有特殊情况需要减少训练任务的县（市、区），必须报经设区的市人民政府、军分区（警备区）批准；需要免除训练任务的县（市、区），必须报经省人民政府、省军区批准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第二十三条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县（市、区）人民武装部，应当按照《民兵军事训练大纲》的要求，以民兵干部、民兵应急分队、专业技术分队的训练为重点，组织实施民兵军事训练。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预备役师、团，应当按照《预备役部队军事训练与考核大纲》的要求，组织实施本部队的训练。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第二十四条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市、县（市、区）人民政府应当建立配套完善的民兵、预备役部队训练基地，训练基地的使用与管理由同级军事机关或者预备役部队负责，任何单位和个人不得侵占。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第二十五条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军事机关应当组织民兵预备役人员参加战备执勤，处置突发事件，做好重大活动、重要时期的安全保卫工作。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动用民兵预备役人员参加战备执勤，其批准权限和程序按照国家有关规定执行。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民兵预备役人员担负勤务的报酬或者补助，由使用单位支付。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黑体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第六章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eastAsia="黑体" w:hAnsi="Times New Roman" w:cs="黑体" w:hint="eastAsia"/>
        </w:rPr>
        <w:t>武器装备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第二十六条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民兵武器弹药的配备、补充和维修统一由省军区、军分区（警备区）负责。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民兵应急分队执行任务所需的防暴、运输、通信等装备器材，由当地人民政府配备保障；对口专业分队所需技术装备，由所在单位保障。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预备役部队武器弹药的配备、补充和维修，按照国家有关规定执行。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第二十七条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省、市、县（市、区）和按照国家有关规定配备民兵武器装备的乡（镇）、企业事业单位，应当按照军事机关的要求，建立符合安全和技术管理要求的民兵武器装备库（室），并按规定配备看管人员；对不具备安全存放条件的民兵武器装备库（室），应当及时整改，确保安全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省、市、县（市、区）民兵武器装备仓库的新建、扩建和改建，必须报经省军区审批；乡（镇）、</w:t>
      </w:r>
      <w:r w:rsidRPr="003F4B32">
        <w:rPr>
          <w:rFonts w:ascii="Times New Roman" w:hAnsi="Times New Roman" w:cs="Times New Roman"/>
        </w:rPr>
        <w:t xml:space="preserve"> </w:t>
      </w:r>
      <w:r w:rsidRPr="003F4B32">
        <w:rPr>
          <w:rFonts w:ascii="Times New Roman" w:hAnsi="Times New Roman" w:cs="仿宋_GB2312" w:hint="eastAsia"/>
        </w:rPr>
        <w:t>企业事业单位民兵武器装备库（室）新建、扩建和改建，必须报经军分区（警备区）审批。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第二十八条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各级军事机关负责民兵武器装备管理工作，对安全管理工作进行检查、监督。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民兵武器装备库（室）应当报所在地公安机关备案，公安机关应当将其列为安全保卫的重点目标，配合军事机关做好安全保卫工作。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黑体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第七章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eastAsia="黑体" w:hAnsi="Times New Roman" w:cs="黑体" w:hint="eastAsia"/>
        </w:rPr>
        <w:t>经费保障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第二十九条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民兵事业费由省人民政府列入财政预算，城市民兵预备役人员（含户籍在城区的农业人员）训练活动费由设区的市人民政府列入财政预算，农村民兵预备役人员（含县、县级市本级及所辖乡镇的非农业人员）训练活动费由县（市）人民政府列入财政预算，并分别按时划拨给同级军事机关。各级民兵预备役部队训练基地、武器装备仓库建设维护费和民兵预备役重大活动经费等，由同级地方人民政府保障。经费的具体标准由地方各级人民政府和同级军事机关，按照国家和省有关规定共同确定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预备役部队经费保障按照国家和省有关规定执行。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企业事业单位的民兵武器装备库（室）建设所需经费由所在单位负责。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第三十条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民兵、预备役工作经费应当严格管理，专款专用，接受地方财政、审计部门的监督。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第三十一条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企业事业单位的民兵预备役人员在参加军事训练期间，由其所在单位照发工资和奖金，原有的福利待遇不变；伙食补助和往返差旅费由所在单位按照国家规定在有关项目中开支。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hAnsi="Times New Roman" w:cs="仿宋_GB2312" w:hint="eastAsia"/>
        </w:rPr>
        <w:t>农村的民兵预备役人员在参加军事训练期间，由军事机关按照当地劳动力收入平均水平，从民兵预备役人员训练费项目中给予误工补贴。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黑体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第八章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eastAsia="黑体" w:hAnsi="Times New Roman" w:cs="黑体" w:hint="eastAsia"/>
        </w:rPr>
        <w:t>法律责任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第三十二条</w:t>
      </w:r>
      <w:r w:rsidRPr="003F4B32">
        <w:rPr>
          <w:rFonts w:ascii="Times New Roman" w:eastAsia="黑体" w:hAnsi="Times New Roman" w:cs="Times New Roman"/>
        </w:rPr>
        <w:t xml:space="preserve"> </w:t>
      </w:r>
      <w:r w:rsidRPr="003F4B32">
        <w:rPr>
          <w:rFonts w:ascii="Times New Roman" w:hAnsi="Times New Roman" w:cs="Times New Roman"/>
        </w:rPr>
        <w:t xml:space="preserve"> </w:t>
      </w:r>
      <w:r w:rsidRPr="003F4B32">
        <w:rPr>
          <w:rFonts w:ascii="Times New Roman" w:hAnsi="Times New Roman" w:cs="仿宋_GB2312" w:hint="eastAsia"/>
        </w:rPr>
        <w:t>符合条件的公民拒绝、逃避参加民兵组织、预备役部队或者预备役登记，民兵预备役人员拒绝、逃避参加军事训练和执行战备勤务的，由县级人民政府责令限期改正；逾期不改正的，由县级人民政府强制其履行义务，并可以处二百元以上三千元以下罚款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第三十三条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机关、团体、企业事业单位拒绝完成本条例规定的民兵、预备役工作任务，阻挠公民履行义务的，由县级人民政府责令限期改正，并可以处五千元以上三万元以下罚款；对单位直接负责的主管人员和其他直接责任人员，依法给予行政处分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第三十四条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扰乱民兵、预备役工作秩序，或者阻碍民兵、预备役工作人员依法执行职务的，依照治安管理处罚的法律规定予以处罚；使用暴力、威胁方法，构成犯罪的，依法追究刑事责任。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第三十五条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国家工作人员在民兵、预备役工作中，收受贿赂、滥用职权、玩忽职守的，依法给予行政处分；构成犯罪的，依法追究刑事责任。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第三十六条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县级人民政府对违反民兵、预备役工作法律法规的单位和个人实施的处罚，由县级人民政府兵役机关具体办理。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Chars="0" w:firstLine="0"/>
        <w:jc w:val="center"/>
        <w:rPr>
          <w:rFonts w:ascii="Times New Roman" w:eastAsia="黑体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第九章</w:t>
      </w:r>
      <w:r w:rsidRPr="003F4B32">
        <w:rPr>
          <w:rFonts w:ascii="Times New Roman" w:eastAsia="黑体" w:hAnsi="Times New Roman" w:cs="Times New Roman"/>
        </w:rPr>
        <w:t xml:space="preserve">  </w:t>
      </w:r>
      <w:r w:rsidRPr="003F4B32">
        <w:rPr>
          <w:rFonts w:ascii="Times New Roman" w:eastAsia="黑体" w:hAnsi="Times New Roman" w:cs="黑体" w:hint="eastAsia"/>
        </w:rPr>
        <w:t>附则</w:t>
      </w: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</w:p>
    <w:p w:rsidR="00C375F4" w:rsidRPr="003F4B32" w:rsidRDefault="00C375F4" w:rsidP="003F4B32">
      <w:pPr>
        <w:ind w:firstLine="640"/>
        <w:rPr>
          <w:rFonts w:ascii="Times New Roman" w:hAnsi="Times New Roman" w:cs="Times New Roman"/>
        </w:rPr>
      </w:pPr>
      <w:r w:rsidRPr="003F4B32">
        <w:rPr>
          <w:rFonts w:ascii="Times New Roman" w:eastAsia="黑体" w:hAnsi="Times New Roman" w:cs="黑体" w:hint="eastAsia"/>
        </w:rPr>
        <w:t>第三十七条</w:t>
      </w:r>
      <w:r w:rsidRPr="003F4B32">
        <w:rPr>
          <w:rFonts w:ascii="Times New Roman" w:hAnsi="Times New Roman" w:cs="Times New Roman"/>
        </w:rPr>
        <w:t xml:space="preserve">  </w:t>
      </w:r>
      <w:r w:rsidRPr="003F4B32">
        <w:rPr>
          <w:rFonts w:ascii="Times New Roman" w:hAnsi="Times New Roman" w:cs="仿宋_GB2312" w:hint="eastAsia"/>
        </w:rPr>
        <w:t>本条例自</w:t>
      </w:r>
      <w:r w:rsidRPr="003F4B32">
        <w:rPr>
          <w:rFonts w:ascii="Times New Roman" w:hAnsi="Times New Roman" w:cs="Times New Roman"/>
        </w:rPr>
        <w:t>2002</w:t>
      </w:r>
      <w:r w:rsidRPr="003F4B32">
        <w:rPr>
          <w:rFonts w:ascii="Times New Roman" w:hAnsi="Times New Roman" w:cs="仿宋_GB2312" w:hint="eastAsia"/>
        </w:rPr>
        <w:t>年</w:t>
      </w:r>
      <w:r w:rsidRPr="003F4B32">
        <w:rPr>
          <w:rFonts w:ascii="Times New Roman" w:hAnsi="Times New Roman" w:cs="Times New Roman"/>
        </w:rPr>
        <w:t>2</w:t>
      </w:r>
      <w:r w:rsidRPr="003F4B32">
        <w:rPr>
          <w:rFonts w:ascii="Times New Roman" w:hAnsi="Times New Roman" w:cs="仿宋_GB2312" w:hint="eastAsia"/>
        </w:rPr>
        <w:t>月</w:t>
      </w:r>
      <w:r w:rsidRPr="003F4B32">
        <w:rPr>
          <w:rFonts w:ascii="Times New Roman" w:hAnsi="Times New Roman" w:cs="Times New Roman"/>
        </w:rPr>
        <w:t>1</w:t>
      </w:r>
      <w:r w:rsidRPr="003F4B32">
        <w:rPr>
          <w:rFonts w:ascii="Times New Roman" w:hAnsi="Times New Roman" w:cs="仿宋_GB2312" w:hint="eastAsia"/>
        </w:rPr>
        <w:t>日起施行。</w:t>
      </w:r>
    </w:p>
    <w:p w:rsidR="00C375F4" w:rsidRPr="003F4B32" w:rsidRDefault="00C375F4">
      <w:pPr>
        <w:ind w:firstLine="640"/>
        <w:rPr>
          <w:rFonts w:ascii="Times New Roman" w:hAnsi="Times New Roman" w:cs="Times New Roman"/>
        </w:rPr>
      </w:pPr>
    </w:p>
    <w:sectPr w:rsidR="00C375F4" w:rsidRPr="003F4B32" w:rsidSect="00C375F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531" w:bottom="1814" w:left="1531" w:header="567" w:footer="1701" w:gutter="0"/>
      <w:pgNumType w:start="1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5F4" w:rsidRDefault="00C375F4">
      <w:pPr>
        <w:ind w:firstLine="64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75F4" w:rsidRDefault="00C375F4">
      <w:pPr>
        <w:ind w:firstLine="64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F4" w:rsidRDefault="00C375F4">
    <w:pPr>
      <w:pStyle w:val="Footer"/>
      <w:framePr w:wrap="auto"/>
      <w:ind w:firstLineChars="100" w:firstLine="300"/>
      <w:rPr>
        <w:rFonts w:cs="Times New Roman"/>
      </w:rPr>
    </w:pPr>
    <w:r>
      <w:rPr>
        <w:rFonts w:cs="方正仿宋_GBK" w:hint="eastAsia"/>
      </w:rPr>
      <w:t>─</w:t>
    </w:r>
    <w:r>
      <w:t xml:space="preserve"> </w:t>
    </w:r>
    <w:fldSimple w:instr="PAGE  ">
      <w:r>
        <w:rPr>
          <w:noProof/>
        </w:rPr>
        <w:t>10</w:t>
      </w:r>
    </w:fldSimple>
    <w:r>
      <w:t xml:space="preserve"> </w:t>
    </w:r>
    <w:r>
      <w:rPr>
        <w:rFonts w:cs="方正仿宋_GBK" w:hint="eastAsia"/>
      </w:rPr>
      <w:t>─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F4" w:rsidRDefault="00C375F4">
    <w:pPr>
      <w:pStyle w:val="Footer"/>
      <w:framePr w:wrap="auto"/>
    </w:pPr>
    <w:r>
      <w:rPr>
        <w:rFonts w:cs="方正仿宋_GBK" w:hint="eastAsia"/>
      </w:rPr>
      <w:t>─</w:t>
    </w:r>
    <w:r>
      <w:t xml:space="preserve"> </w:t>
    </w:r>
    <w:fldSimple w:instr="PAGE  ">
      <w:r>
        <w:rPr>
          <w:noProof/>
        </w:rPr>
        <w:t>1</w:t>
      </w:r>
    </w:fldSimple>
    <w:r>
      <w:t xml:space="preserve"> </w:t>
    </w:r>
    <w:r>
      <w:rPr>
        <w:rFonts w:cs="方正仿宋_GBK" w:hint="eastAsia"/>
      </w:rPr>
      <w:t>─</w:t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5F4" w:rsidRDefault="00C375F4">
      <w:pPr>
        <w:ind w:firstLine="64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75F4" w:rsidRDefault="00C375F4">
      <w:pPr>
        <w:ind w:firstLine="64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F4" w:rsidRDefault="00C375F4">
    <w:pPr>
      <w:pStyle w:val="Header"/>
      <w:pBdr>
        <w:bottom w:val="none" w:sz="0" w:space="0" w:color="auto"/>
      </w:pBdr>
      <w:ind w:firstLine="360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F4" w:rsidRDefault="00C375F4">
    <w:pPr>
      <w:pStyle w:val="Header"/>
      <w:pBdr>
        <w:bottom w:val="none" w:sz="0" w:space="0" w:color="auto"/>
      </w:pBdr>
      <w:ind w:firstLine="36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attachedTemplate r:id="rId1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FFE"/>
    <w:rsid w:val="003F4B32"/>
    <w:rsid w:val="008B721F"/>
    <w:rsid w:val="00B36AAF"/>
    <w:rsid w:val="00C375F4"/>
    <w:rsid w:val="00CD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32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仿宋_GB2312" w:hAnsi="Times" w:cs="Times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40" w:after="330" w:line="578" w:lineRule="atLeast"/>
      <w:outlineLvl w:val="0"/>
    </w:pPr>
    <w:rPr>
      <w:rFonts w:eastAsia="方正仿宋_GBK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60" w:after="260" w:line="416" w:lineRule="atLeast"/>
      <w:outlineLvl w:val="2"/>
    </w:pPr>
    <w:rPr>
      <w:rFonts w:eastAsia="方正仿宋_GBK"/>
      <w:b/>
      <w:bCs/>
    </w:rPr>
  </w:style>
  <w:style w:type="character" w:default="1" w:styleId="DefaultParagraphFont">
    <w:name w:val="Default Paragraph Font"/>
    <w:link w:val="Style7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FE"/>
    <w:rPr>
      <w:rFonts w:ascii="Times" w:eastAsia="仿宋_GB2312" w:hAnsi="Times" w:cs="Times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FE"/>
    <w:rPr>
      <w:rFonts w:ascii="Times" w:eastAsia="仿宋_GB2312" w:hAnsi="Times" w:cs="Times"/>
      <w:b/>
      <w:bCs/>
      <w:sz w:val="32"/>
      <w:szCs w:val="32"/>
    </w:rPr>
  </w:style>
  <w:style w:type="paragraph" w:customStyle="1" w:styleId="1">
    <w:name w:val="标题1"/>
    <w:basedOn w:val="Normal"/>
    <w:next w:val="Normal"/>
    <w:uiPriority w:val="99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 w:cs="方正小标宋_GBK"/>
      <w:sz w:val="44"/>
      <w:szCs w:val="44"/>
    </w:rPr>
  </w:style>
  <w:style w:type="paragraph" w:styleId="Footer">
    <w:name w:val="footer"/>
    <w:basedOn w:val="Normal"/>
    <w:link w:val="FooterChar"/>
    <w:autoRedefine/>
    <w:uiPriority w:val="99"/>
    <w:pPr>
      <w:framePr w:wrap="auto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rFonts w:eastAsia="方正仿宋_GBK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3FFE"/>
    <w:rPr>
      <w:rFonts w:ascii="Times" w:eastAsia="仿宋_GB2312" w:hAnsi="Times" w:cs="Times"/>
      <w:sz w:val="18"/>
      <w:szCs w:val="18"/>
    </w:rPr>
  </w:style>
  <w:style w:type="paragraph" w:customStyle="1" w:styleId="2">
    <w:name w:val="标题2"/>
    <w:basedOn w:val="Normal"/>
    <w:next w:val="Normal"/>
    <w:uiPriority w:val="99"/>
    <w:pPr>
      <w:ind w:firstLineChars="0" w:firstLine="0"/>
      <w:jc w:val="center"/>
    </w:pPr>
    <w:rPr>
      <w:rFonts w:ascii="方正楷体_GBK" w:eastAsia="方正楷体_GBK" w:hAnsi="Book Antiqua" w:cs="方正楷体_GBK"/>
    </w:rPr>
  </w:style>
  <w:style w:type="paragraph" w:customStyle="1" w:styleId="3">
    <w:name w:val="标题3"/>
    <w:basedOn w:val="Normal"/>
    <w:next w:val="Normal"/>
    <w:uiPriority w:val="99"/>
    <w:pPr>
      <w:adjustRightInd w:val="0"/>
    </w:pPr>
    <w:rPr>
      <w:rFonts w:ascii="方正黑体简体" w:eastAsia="方正黑体简体" w:cs="方正黑体简体"/>
    </w:rPr>
  </w:style>
  <w:style w:type="paragraph" w:customStyle="1" w:styleId="4">
    <w:name w:val="标题4"/>
    <w:basedOn w:val="3"/>
    <w:next w:val="Normal"/>
    <w:uiPriority w:val="99"/>
    <w:pPr>
      <w:jc w:val="center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rFonts w:eastAsia="方正仿宋_GBK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3FFE"/>
    <w:rPr>
      <w:rFonts w:ascii="Times" w:eastAsia="仿宋_GB2312" w:hAnsi="Times" w:cs="Times"/>
      <w:sz w:val="18"/>
      <w:szCs w:val="18"/>
    </w:rPr>
  </w:style>
  <w:style w:type="paragraph" w:customStyle="1" w:styleId="5">
    <w:name w:val="标题5"/>
    <w:basedOn w:val="Normal"/>
    <w:next w:val="Normal"/>
    <w:uiPriority w:val="99"/>
    <w:rPr>
      <w:rFonts w:ascii="方正楷体简体" w:eastAsia="方正楷体简体" w:cs="方正楷体简体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spacing w:line="500" w:lineRule="exact"/>
      <w:ind w:firstLine="630"/>
    </w:pPr>
    <w:rPr>
      <w:rFonts w:ascii="仿宋_GB2312" w:eastAsia="方正仿宋_GBK" w:cs="仿宋_GB2312"/>
      <w:spacing w:val="-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3FFE"/>
    <w:rPr>
      <w:rFonts w:ascii="Times" w:eastAsia="仿宋_GB2312" w:hAnsi="Times" w:cs="Times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overflowPunct/>
      <w:autoSpaceDE w:val="0"/>
      <w:autoSpaceDN w:val="0"/>
      <w:spacing w:line="567" w:lineRule="atLeast"/>
      <w:ind w:left="1120" w:hangingChars="400" w:hanging="1120"/>
    </w:pPr>
    <w:rPr>
      <w:rFonts w:eastAsia="方正仿宋_GBK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3FFE"/>
    <w:rPr>
      <w:rFonts w:ascii="Times" w:eastAsia="仿宋_GB2312" w:hAnsi="Times" w:cs="Times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pPr>
      <w:overflowPunct/>
      <w:snapToGrid/>
      <w:spacing w:line="240" w:lineRule="auto"/>
      <w:ind w:leftChars="2500" w:left="100" w:firstLine="0"/>
    </w:pPr>
    <w:rPr>
      <w:rFonts w:ascii="Times New Roman" w:eastAsia="宋体" w:cs="Times New Roman"/>
      <w:b/>
      <w:bCs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FF3FFE"/>
    <w:rPr>
      <w:rFonts w:ascii="Times" w:eastAsia="仿宋_GB2312" w:hAnsi="Times" w:cs="Times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pPr>
      <w:overflowPunct/>
      <w:snapToGrid/>
      <w:spacing w:line="440" w:lineRule="exact"/>
      <w:ind w:left="540" w:firstLineChars="192" w:firstLine="538"/>
    </w:pPr>
    <w:rPr>
      <w:rFonts w:ascii="Times New Roman" w:eastAsia="宋体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3FFE"/>
    <w:rPr>
      <w:rFonts w:ascii="Times" w:eastAsia="仿宋_GB2312" w:hAnsi="Times" w:cs="Times"/>
      <w:sz w:val="16"/>
      <w:szCs w:val="16"/>
    </w:rPr>
  </w:style>
  <w:style w:type="character" w:styleId="PageNumber">
    <w:name w:val="page number"/>
    <w:basedOn w:val="DefaultParagraphFont"/>
    <w:uiPriority w:val="99"/>
  </w:style>
  <w:style w:type="paragraph" w:customStyle="1" w:styleId="Style7">
    <w:name w:val="_Style 7"/>
    <w:basedOn w:val="Normal"/>
    <w:link w:val="DefaultParagraphFont"/>
    <w:uiPriority w:val="99"/>
    <w:rsid w:val="003F4B32"/>
    <w:pPr>
      <w:widowControl/>
      <w:overflowPunct/>
      <w:snapToGrid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4&#65288;&#26032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A4（新）</Template>
  <TotalTime>4</TotalTime>
  <Pages>10</Pages>
  <Words>632</Words>
  <Characters>3608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subject/>
  <dc:creator>微软用户</dc:creator>
  <cp:keywords/>
  <dc:description/>
  <cp:lastModifiedBy>微软用户</cp:lastModifiedBy>
  <cp:revision>1</cp:revision>
  <cp:lastPrinted>2002-07-23T02:37:00Z</cp:lastPrinted>
  <dcterms:created xsi:type="dcterms:W3CDTF">2016-12-21T08:40:00Z</dcterms:created>
  <dcterms:modified xsi:type="dcterms:W3CDTF">2016-12-21T08:44:00Z</dcterms:modified>
</cp:coreProperties>
</file>