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51" w:rsidRPr="00CB7B78" w:rsidRDefault="00FC0F51" w:rsidP="00CB7B78">
      <w:pPr>
        <w:pStyle w:val="a5"/>
        <w:widowControl/>
        <w:tabs>
          <w:tab w:val="left" w:pos="0"/>
        </w:tabs>
        <w:spacing w:beforeAutospacing="0" w:afterAutospacing="0" w:line="592" w:lineRule="exact"/>
        <w:ind w:firstLineChars="200" w:firstLine="640"/>
        <w:mirrorIndents/>
        <w:jc w:val="both"/>
        <w:rPr>
          <w:rStyle w:val="a6"/>
          <w:rFonts w:ascii="仿宋_GB2312" w:eastAsia="仿宋_GB2312" w:hAnsi="宋体" w:cs="宋体"/>
          <w:b w:val="0"/>
          <w:bCs/>
          <w:sz w:val="32"/>
          <w:szCs w:val="32"/>
        </w:rPr>
      </w:pPr>
    </w:p>
    <w:p w:rsidR="00FC0F51" w:rsidRPr="00CB7B78" w:rsidRDefault="00FC0F51" w:rsidP="00CB7B78">
      <w:pPr>
        <w:pStyle w:val="a5"/>
        <w:widowControl/>
        <w:tabs>
          <w:tab w:val="left" w:pos="0"/>
        </w:tabs>
        <w:spacing w:beforeAutospacing="0" w:afterAutospacing="0" w:line="592" w:lineRule="exact"/>
        <w:ind w:firstLineChars="200" w:firstLine="640"/>
        <w:mirrorIndents/>
        <w:jc w:val="both"/>
        <w:rPr>
          <w:rStyle w:val="a6"/>
          <w:rFonts w:ascii="仿宋_GB2312" w:eastAsia="仿宋_GB2312" w:hAnsi="宋体" w:cs="宋体"/>
          <w:b w:val="0"/>
          <w:bCs/>
          <w:sz w:val="32"/>
          <w:szCs w:val="32"/>
        </w:rPr>
      </w:pPr>
    </w:p>
    <w:p w:rsidR="00CB7B78" w:rsidRDefault="00CB7B78" w:rsidP="00CB7B78">
      <w:pPr>
        <w:spacing w:line="592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B7B78">
        <w:rPr>
          <w:rFonts w:asciiTheme="majorEastAsia" w:eastAsiaTheme="majorEastAsia" w:hAnsiTheme="majorEastAsia" w:hint="eastAsia"/>
          <w:sz w:val="44"/>
          <w:szCs w:val="44"/>
        </w:rPr>
        <w:t>紫云苗族布依族自治县格凸河穿洞</w:t>
      </w:r>
    </w:p>
    <w:p w:rsidR="00CB7B78" w:rsidRPr="00CB7B78" w:rsidRDefault="00CB7B78" w:rsidP="00CB7B78">
      <w:pPr>
        <w:spacing w:line="592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B7B78">
        <w:rPr>
          <w:rFonts w:asciiTheme="majorEastAsia" w:eastAsiaTheme="majorEastAsia" w:hAnsiTheme="majorEastAsia" w:hint="eastAsia"/>
          <w:sz w:val="44"/>
          <w:szCs w:val="44"/>
        </w:rPr>
        <w:t>风景名胜区管理条例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7B78" w:rsidRPr="00DB34B6" w:rsidRDefault="00CB7B78" w:rsidP="00CB7B78">
      <w:pPr>
        <w:spacing w:line="592" w:lineRule="exact"/>
        <w:ind w:leftChars="337" w:left="708" w:rightChars="269" w:right="565"/>
        <w:rPr>
          <w:rFonts w:ascii="楷体_GB2312" w:eastAsia="楷体_GB2312" w:hint="eastAsia"/>
          <w:sz w:val="32"/>
          <w:szCs w:val="32"/>
        </w:rPr>
      </w:pPr>
      <w:r w:rsidRPr="00DB34B6">
        <w:rPr>
          <w:rFonts w:ascii="楷体_GB2312" w:eastAsia="楷体_GB2312" w:hint="eastAsia"/>
          <w:sz w:val="32"/>
          <w:szCs w:val="32"/>
        </w:rPr>
        <w:t>（2000年3月24日紫云苗族布依族自治县第十二届人民代表大会第三次会议通过  2000年5月27日贵州省第九届人民代表大会常务委员会第十六次会议批准  自2000年7月1日起施行）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jc w:val="center"/>
        <w:rPr>
          <w:rFonts w:ascii="黑体" w:eastAsia="黑体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第一章</w:t>
      </w:r>
      <w:r>
        <w:rPr>
          <w:rFonts w:ascii="黑体" w:eastAsia="黑体" w:hint="eastAsia"/>
          <w:sz w:val="32"/>
          <w:szCs w:val="32"/>
        </w:rPr>
        <w:t xml:space="preserve">  </w:t>
      </w:r>
      <w:r w:rsidRPr="00CB7B78">
        <w:rPr>
          <w:rFonts w:ascii="黑体" w:eastAsia="黑体" w:hint="eastAsia"/>
          <w:sz w:val="32"/>
          <w:szCs w:val="32"/>
        </w:rPr>
        <w:t>总则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黑体" w:eastAsia="黑体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CB7B78">
        <w:rPr>
          <w:rFonts w:ascii="仿宋_GB2312" w:eastAsia="仿宋_GB2312" w:hint="eastAsia"/>
          <w:sz w:val="32"/>
          <w:szCs w:val="32"/>
        </w:rPr>
        <w:t>为加强对格凸河穿洞风景名胜区（以下简称风景区）的管理，保护、开发、利用风景名胜资源，促进本县经济社会持续发展，根据《中华人民共和国宪法》、《中华人民共和国民族区域自治法》和有关法律、法规，结合本县实际，制定本条例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第二条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本条例所称的风景区是集喀斯特峰林、峰丛、峡谷、溶洞、湖泊及地下河系统等自然形态景观和洞寨、少数民族风情、民间艺术等人文景观为一体的重要风景名胜区，由穿洞景区、大河景区、黄家湾景区及相关景点组成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第三条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本条例适用于本县行政区域内风景区所辖的范</w:t>
      </w:r>
      <w:r w:rsidRPr="00CB7B78">
        <w:rPr>
          <w:rFonts w:ascii="仿宋_GB2312" w:eastAsia="仿宋_GB2312" w:hint="eastAsia"/>
          <w:sz w:val="32"/>
          <w:szCs w:val="32"/>
        </w:rPr>
        <w:lastRenderedPageBreak/>
        <w:t>围。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第四条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任何单位和个人都有保护风景名胜资源的义务，在风景区内进行的活动，应当遵守本条例。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第五条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自治县人民政府应将风景区保护、开发与建设纳入国民经济和社会发展计划。</w:t>
      </w:r>
      <w:r w:rsidRPr="00CB7B78">
        <w:rPr>
          <w:rFonts w:ascii="仿宋_GB2312" w:eastAsia="仿宋_GB2312" w:hint="eastAsia"/>
          <w:sz w:val="32"/>
          <w:szCs w:val="32"/>
        </w:rPr>
        <w:br/>
        <w:t>风景区的保护、建设、开发和管理应遵循严格保护，合理开发，统一管理，永续利用，有偿使用的原则。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第六条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自治县人民政府风景区管理机构负责风景区的管理工作，依法对风景区实施监督和管理，其他有关职能部门依照职责协助做好工作。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第七条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对风景区保护、建设和开发作出重要贡献的单位和个人，由自治县人民政府或风景区管理机构给予表彰和奖励。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jc w:val="center"/>
        <w:rPr>
          <w:rFonts w:ascii="黑体" w:eastAsia="黑体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第二章</w:t>
      </w:r>
      <w:r>
        <w:rPr>
          <w:rFonts w:ascii="黑体" w:eastAsia="黑体" w:hint="eastAsia"/>
          <w:sz w:val="32"/>
          <w:szCs w:val="32"/>
        </w:rPr>
        <w:t xml:space="preserve">  </w:t>
      </w:r>
      <w:r w:rsidRPr="00CB7B78">
        <w:rPr>
          <w:rFonts w:ascii="黑体" w:eastAsia="黑体" w:hint="eastAsia"/>
          <w:sz w:val="32"/>
          <w:szCs w:val="32"/>
        </w:rPr>
        <w:t>保护与开发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黑体" w:eastAsia="黑体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 xml:space="preserve">第八条 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自治县人民政府应按照总体规划所确定的区域，设置风景区永久性界桩，标明界区，设置与环境协调的入口标志。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第九条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各个景区的奇峰异石、古树名木、天然林区、重要地质构造、少数民族文化遗存和传统民居，应建立档案，悬挂保护标志，严格管理。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在风景区禁止下列行为：</w:t>
      </w:r>
      <w:r w:rsidRPr="00CB7B78">
        <w:rPr>
          <w:rFonts w:ascii="仿宋_GB2312" w:eastAsia="仿宋_GB2312" w:hint="eastAsia"/>
          <w:sz w:val="32"/>
          <w:szCs w:val="32"/>
        </w:rPr>
        <w:br/>
      </w:r>
      <w:r w:rsidRPr="00CB7B78">
        <w:rPr>
          <w:rFonts w:ascii="仿宋_GB2312" w:eastAsia="仿宋_GB2312" w:hint="eastAsia"/>
          <w:sz w:val="32"/>
          <w:szCs w:val="32"/>
        </w:rPr>
        <w:lastRenderedPageBreak/>
        <w:t xml:space="preserve">　　（一）侵占土地、违章建筑；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（二）毁林毁草开荒、乱砍滥伐；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（三）盗伐、毁损古树名木，采挖珍稀物种；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（四）污损、毁坏文物；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（五）敲毁喀斯特溶洞沉积物或毁损人文景观；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（六）猎捕、伤害野生动物和栖息动物；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（七）炸鱼、电鱼、毒鱼；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（八）排放、倾倒污染环境的废气、废水、废渣和其他有毒有害物品；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（九）在景物上刻划、涂写；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（十）放火烧荒，乱丢烟头；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（十一）破坏、毁损风景区公共、安全设施或者擅自移动、毁坏风景区标志、界桩；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（十二）其他破坏景观和生态环境的行为。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第十一条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未经批准，在风景区不得有下列行为：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（一）开山、采石、挖砂、取土、烧窑；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（二）围填堵塞水源、湖泊、河道、滩涂；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（三）采挖苗木、花草、药材；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（四）燃放篝火、野炊、野灶；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（五）设置、张贴广告；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（六）建造坟茔。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第十二条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风景区管理机构应根据盲谷景点的允许容量，</w:t>
      </w:r>
      <w:r w:rsidRPr="00CB7B78">
        <w:rPr>
          <w:rFonts w:ascii="仿宋_GB2312" w:eastAsia="仿宋_GB2312" w:hint="eastAsia"/>
          <w:sz w:val="32"/>
          <w:szCs w:val="32"/>
        </w:rPr>
        <w:lastRenderedPageBreak/>
        <w:t>额定游人规模，并予以监督。</w:t>
      </w:r>
      <w:r w:rsidRPr="00CB7B78">
        <w:rPr>
          <w:rFonts w:ascii="仿宋_GB2312" w:eastAsia="仿宋_GB2312" w:hint="eastAsia"/>
          <w:sz w:val="32"/>
          <w:szCs w:val="32"/>
        </w:rPr>
        <w:br/>
        <w:t>严禁携带火种进入盲谷景点。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第十三条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在穿洞景区和大河景区使用机动船只，须经风景区管理机构批准。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第十四条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风景区内的工矿企业，交通、旅游等基础设施和村寨建设应服从总体规划。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对景区内已建的民居建筑，确有损害自然景观、妨碍风景区保护的，应予迁出。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第十五条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风景区的各类建筑和设施，应突出民族风格，与周围景观和环境相协调。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第十六条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风景区及其外围保护带的建设工程，在施工过程中必须采取有效措施，保护景物及周围的林木、植被、水体、地貌，不得造成污染和破坏，其防治污染设施必须与主体工程同时设计，同时施工，同时使用。施工结束后，应及时清理场地，恢复环境原貌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第十七条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自治县人民政府应制定有效措施，搞好格凸河流域生态环境的综合治理。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风景区25度以上的坡地以及分布在重要景点上的耕地应实行退耕还林、还草和封山育林。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在风景区内推广沼气适用技术，采取综合节柴措施，解决风景区内居民的燃料问题。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第十八条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风景区应规划适当面积作为放牧用地，禁止在</w:t>
      </w:r>
      <w:r w:rsidRPr="00CB7B78">
        <w:rPr>
          <w:rFonts w:ascii="仿宋_GB2312" w:eastAsia="仿宋_GB2312" w:hint="eastAsia"/>
          <w:sz w:val="32"/>
          <w:szCs w:val="32"/>
        </w:rPr>
        <w:lastRenderedPageBreak/>
        <w:t>主要景点放牧。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风景区农田基本建设应推行生物梗梯化技术，减少对景区植被和景体的破坏。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第十九条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有关部门或乡（镇）应加强格凸河上游河段的水土保持治理和生态保护，安排建设项目不能影响风景区的生态环境。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第二十条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鼓励和支持有利于风景区保护和建设的招商引资项目；鼓励多种经济成份参与风景区的开发和建设。谁投资谁受益，并享受自治县人民政府制定的优惠政策。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</w:t>
      </w:r>
      <w:r w:rsidRPr="00CB7B78">
        <w:rPr>
          <w:rFonts w:ascii="黑体" w:eastAsia="黑体" w:hint="eastAsia"/>
          <w:sz w:val="32"/>
          <w:szCs w:val="32"/>
        </w:rPr>
        <w:t>第二十一条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鼓励开发优秀民间工艺、民间文艺和风味食品；鼓励和支持风景区居民生产、经营具有地方、民族特色的产品，从事民族风情服务活动。</w:t>
      </w:r>
      <w:r w:rsidRPr="00CB7B78">
        <w:rPr>
          <w:rFonts w:ascii="仿宋_GB2312" w:eastAsia="仿宋_GB2312" w:hint="eastAsia"/>
          <w:sz w:val="32"/>
          <w:szCs w:val="32"/>
        </w:rPr>
        <w:br/>
        <w:t xml:space="preserve">　　对生产、加工民族工艺用品的单位和个人，有关部门应给予扶持。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jc w:val="center"/>
        <w:rPr>
          <w:rFonts w:ascii="黑体" w:eastAsia="黑体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第三章</w:t>
      </w:r>
      <w:r>
        <w:rPr>
          <w:rFonts w:ascii="黑体" w:eastAsia="黑体" w:hint="eastAsia"/>
          <w:sz w:val="32"/>
          <w:szCs w:val="32"/>
        </w:rPr>
        <w:t xml:space="preserve">  </w:t>
      </w:r>
      <w:r w:rsidRPr="00CB7B78">
        <w:rPr>
          <w:rFonts w:ascii="黑体" w:eastAsia="黑体" w:hint="eastAsia"/>
          <w:sz w:val="32"/>
          <w:szCs w:val="32"/>
        </w:rPr>
        <w:t>管理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黑体" w:eastAsia="黑体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第二十二条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风景区管理机构依法行使以下职能：</w:t>
      </w:r>
    </w:p>
    <w:p w:rsidR="00CB7B78" w:rsidRPr="00CB7B78" w:rsidRDefault="00CB7B78" w:rsidP="00CB7B78">
      <w:pPr>
        <w:numPr>
          <w:ilvl w:val="0"/>
          <w:numId w:val="12"/>
        </w:numPr>
        <w:spacing w:line="592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贯彻执行国家法律、法规和本条例；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（二）制定风景区保护措施和管理制度，经自治县人民政府批准后组织实施；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（三）会同有关部门对风景区的建设项目进行环境评价和</w:t>
      </w:r>
      <w:r w:rsidRPr="00CB7B78">
        <w:rPr>
          <w:rFonts w:ascii="仿宋_GB2312" w:eastAsia="仿宋_GB2312" w:hint="eastAsia"/>
          <w:sz w:val="32"/>
          <w:szCs w:val="32"/>
        </w:rPr>
        <w:lastRenderedPageBreak/>
        <w:t>规划审查；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（四）维护风景区的公共设施和社会秩序，维护旅游者的合法权益；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（五）搞好风景区的宣传，开拓旅游市场；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（六）合同有关部门发掘和利用民间传统文化，提高风景区旅游的文化内涵；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（七）为风景区经济发展搞好协调和服务；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（八）行使自治县人民政府授予的其他管理职能。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第二十三条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风景区内的村寨应建立和完善村规民约，配合风景区管理机构做好资源保护工作。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第二十四条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在风景区开展经营、游览、娱乐活动，应当遵守公共秩序，尊重当地民族风俗习惯，服从管理。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第二十五条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任何单位和个人在风景区进行经营，应先取得风景区管理机构的许可，在规定的服务区域和经营范围内亮照营业。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风景区内的服务行业，应符合有关卫生标准并妥善处理生活污水和垃圾。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第二十六条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风景区应设置安全设施和安全标志，定期检查和维修，保证完好。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对尚未探明的地下溶洞和险峻景点，要设置警示标志和禁游设施，不得开展游览活动。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第二十七条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在风景区进行开发、经营的单位和个人，应</w:t>
      </w:r>
      <w:r w:rsidRPr="00CB7B78">
        <w:rPr>
          <w:rFonts w:ascii="仿宋_GB2312" w:eastAsia="仿宋_GB2312" w:hint="eastAsia"/>
          <w:sz w:val="32"/>
          <w:szCs w:val="32"/>
        </w:rPr>
        <w:lastRenderedPageBreak/>
        <w:t>按规定交纳管理费、资源使用费和有关法律、法规规定应交纳的费用。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违反前款规定以外的收费，相对人有权拒绝交纳，并可向有关部门举报。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第二十八条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风景区管理机构的收入，主要用于景区建设和保护。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第二十九条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在风景区举办演出活动或进行科学考察的，须向有关部门提出申请，经审查批准后按风景区的规定进行。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jc w:val="center"/>
        <w:rPr>
          <w:rFonts w:ascii="黑体" w:eastAsia="黑体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第四章</w:t>
      </w:r>
      <w:r>
        <w:rPr>
          <w:rFonts w:ascii="黑体" w:eastAsia="黑体" w:hint="eastAsia"/>
          <w:sz w:val="32"/>
          <w:szCs w:val="32"/>
        </w:rPr>
        <w:t xml:space="preserve">  </w:t>
      </w:r>
      <w:r w:rsidRPr="00CB7B78">
        <w:rPr>
          <w:rFonts w:ascii="黑体" w:eastAsia="黑体" w:hint="eastAsia"/>
          <w:sz w:val="32"/>
          <w:szCs w:val="32"/>
        </w:rPr>
        <w:t>法律责任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黑体" w:eastAsia="黑体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第三十条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 xml:space="preserve"> 下列行为，由风景区管理机构予以处罚：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（一）违反本条例第十条第（一）项的规定，在中心景区乱搭乱建，或者擅自延伸经营场所的，责令拆除违章建筑，恢复原状，并处以每平方米20元以下罚款；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（二）违反本条例第十条第（三）项的规定，采挖珍稀物种的，处以20元以上500元以下罚款；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（三）违反本条例第十条第（四）项的规定，污损文物的，处以200元以上1000元以下罚款；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（四）违反本条例第十条第（五）项、第十一条第（一）项和第（二）项规定的，责令停止破坏，恢复环境原貌，赔偿经济损失，并处以100元以上1000元以下罚款；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lastRenderedPageBreak/>
        <w:t>（五）违反本条例第十条第（六）、（七）项规定的，处以50元以上500元以下罚款；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（六）违反本条例第十条第（九）项、第十一条第（三）项和第（四）项规定的，处以10元以上50元以下罚款；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（七）违反本条例第十条第（十）项的规定，尚未造成火灾的，处以5元以上50元以下罚款；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（八）违反本条例第十条第（十一）项规定的，处以100元以上500元以下罚款；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（九）违反本条例第十一条第（五）项规定的，处以300元以下罚款；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（十）违反本条例第十一条第（六）项规定的，责令迁出，恢复环境原貌，并处以50元以上300元以下罚款；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（十一）违反本条例第十二条第二款、第十八条规定的，分别处以50元以下罚款，并没收取火器具；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（十二）违反本条例第十三条规定的，处以200元以下罚款；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（十三）违反本条例第十六条的规定，导致景体污损或毁坏的，处以300元以上1000元以下罚款。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第三十一条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本条例规定处罚以外的其它违法行为，由有关部门依法处理。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第三十二条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风景区管理人员玩忽职守，徇私枉法的，由其主管部门给予行政处分；造成损失的，依法赔偿。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jc w:val="center"/>
        <w:rPr>
          <w:rFonts w:ascii="黑体" w:eastAsia="黑体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 xml:space="preserve">第五章 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CB7B78">
        <w:rPr>
          <w:rFonts w:ascii="黑体" w:eastAsia="黑体" w:hint="eastAsia"/>
          <w:sz w:val="32"/>
          <w:szCs w:val="32"/>
        </w:rPr>
        <w:t>附则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黑体" w:eastAsia="黑体"/>
          <w:sz w:val="32"/>
          <w:szCs w:val="32"/>
        </w:rPr>
      </w:pP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黑体" w:eastAsia="黑体" w:hint="eastAsia"/>
          <w:sz w:val="32"/>
          <w:szCs w:val="32"/>
        </w:rPr>
        <w:t>第三十三条</w:t>
      </w:r>
      <w:r w:rsidRPr="00CB7B7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B7B78">
        <w:rPr>
          <w:rFonts w:ascii="仿宋_GB2312" w:eastAsia="仿宋_GB2312" w:hint="eastAsia"/>
          <w:sz w:val="32"/>
          <w:szCs w:val="32"/>
        </w:rPr>
        <w:t>本条例所称的格凸河穿洞风景名胜区位于自治县东面，北起座马河、花坡、大塘、上苑至板当一线，南抵上格井至打饶一线，西靠磨莎、岜易、关口一线，东接板当下格冗、关上、克混、关口寨、天星桥、竹林寨一线。风景区在本县行政区范围内的面积共90.2平方公里，包括：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（一）穿洞景区：总面积26平方公里，合洞穴大厅、古地下河遗迹、响水洞、燕子洞、洞寨和盲谷原始丛林等主要景点；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（二）大河景区：总面积14．25平方公里，含星星峡、岩溶湖、大河民族村寨、洞葬等主要景点；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（三）黄家湾景区：总面积31平方公里。本景区景点以水域、港湾、孤岛为主；</w:t>
      </w:r>
    </w:p>
    <w:p w:rsidR="00CB7B78" w:rsidRPr="00CB7B78" w:rsidRDefault="00CB7B78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7B78">
        <w:rPr>
          <w:rFonts w:ascii="仿宋_GB2312" w:eastAsia="仿宋_GB2312" w:hint="eastAsia"/>
          <w:sz w:val="32"/>
          <w:szCs w:val="32"/>
        </w:rPr>
        <w:t>（四）其他在景区内的独立景点。</w:t>
      </w:r>
      <w:r w:rsidRPr="00CB7B78">
        <w:rPr>
          <w:rFonts w:ascii="仿宋_GB2312" w:eastAsia="仿宋_GB2312" w:hint="eastAsia"/>
          <w:sz w:val="32"/>
          <w:szCs w:val="32"/>
        </w:rPr>
        <w:br/>
        <w:t>风景区外围保护带的面积为99．2平方公里。</w:t>
      </w:r>
    </w:p>
    <w:p w:rsidR="00987381" w:rsidRPr="00CB7B78" w:rsidRDefault="00987381" w:rsidP="00CB7B78">
      <w:pPr>
        <w:spacing w:line="592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01C90" w:rsidRPr="00CB7B78" w:rsidRDefault="00F01C90" w:rsidP="00CB7B78">
      <w:pPr>
        <w:spacing w:line="592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F01C90" w:rsidRPr="00CB7B78" w:rsidSect="00F9088F">
      <w:footerReference w:type="even" r:id="rId9"/>
      <w:footerReference w:type="default" r:id="rId10"/>
      <w:pgSz w:w="11849" w:h="16781"/>
      <w:pgMar w:top="1928" w:right="1531" w:bottom="1701" w:left="1531" w:header="851" w:footer="992" w:gutter="0"/>
      <w:cols w:space="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89" w:rsidRDefault="00F64889" w:rsidP="00FC0F51">
      <w:r>
        <w:separator/>
      </w:r>
    </w:p>
  </w:endnote>
  <w:endnote w:type="continuationSeparator" w:id="1">
    <w:p w:rsidR="00F64889" w:rsidRDefault="00F64889" w:rsidP="00FC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51" w:rsidRDefault="002157C2">
    <w:pPr>
      <w:pStyle w:val="a3"/>
      <w:rPr>
        <w:rFonts w:ascii="宋体" w:eastAsia="宋体" w:hAnsi="宋体" w:cs="宋体"/>
        <w:sz w:val="28"/>
        <w:szCs w:val="28"/>
      </w:rPr>
    </w:pPr>
    <w:r w:rsidRPr="002157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-1pt;width:2in;height:2in;z-index:251659264;mso-wrap-style:none;mso-position-horizontal-relative:margin" o:gfxdata="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t+0bXTAAAABwEAAA8AAAAAAAAAAQAg&#10;AAAAIgAAAGRycy9kb3ducmV2LnhtbFBLAQIUABQAAAAIAIdO4kAR1yZaEwIAABMEAAAOAAAAAAAA&#10;AAEAIAAAACIBAABkcnMvZTJvRG9jLnhtbFBLBQYAAAAABgAGAFkBAACnBQAAAAA=&#10;" filled="f" stroked="f" strokeweight=".5pt">
          <v:textbox style="mso-fit-shape-to-text:t" inset="0,0,0,0">
            <w:txbxContent>
              <w:p w:rsidR="00F9088F" w:rsidRDefault="00F9088F" w:rsidP="00F9088F">
                <w:pPr>
                  <w:pStyle w:val="a3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 xml:space="preserve"> </w:t>
                </w:r>
                <w:r w:rsidR="002157C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 w:rsidR="002157C2">
                  <w:rPr>
                    <w:sz w:val="28"/>
                    <w:szCs w:val="28"/>
                  </w:rPr>
                  <w:fldChar w:fldCharType="separate"/>
                </w:r>
                <w:r w:rsidR="00DB34B6">
                  <w:rPr>
                    <w:rStyle w:val="a7"/>
                    <w:noProof/>
                    <w:sz w:val="28"/>
                    <w:szCs w:val="28"/>
                  </w:rPr>
                  <w:t>2</w:t>
                </w:r>
                <w:r w:rsidR="002157C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</w:p>
              <w:p w:rsidR="00FC0F51" w:rsidRPr="00F9088F" w:rsidRDefault="00FC0F51" w:rsidP="00F9088F">
                <w:pPr>
                  <w:rPr>
                    <w:szCs w:val="44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51" w:rsidRDefault="002157C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56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F9088F" w:rsidRDefault="00F9088F" w:rsidP="00F9088F">
                <w:pPr>
                  <w:pStyle w:val="a3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 xml:space="preserve"> </w:t>
                </w:r>
                <w:r w:rsidR="002157C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sz w:val="28"/>
                    <w:szCs w:val="28"/>
                  </w:rPr>
                  <w:instrText xml:space="preserve">PAGE  </w:instrText>
                </w:r>
                <w:r w:rsidR="002157C2">
                  <w:rPr>
                    <w:sz w:val="28"/>
                    <w:szCs w:val="28"/>
                  </w:rPr>
                  <w:fldChar w:fldCharType="separate"/>
                </w:r>
                <w:r w:rsidR="00DB34B6">
                  <w:rPr>
                    <w:rStyle w:val="a7"/>
                    <w:noProof/>
                    <w:sz w:val="28"/>
                    <w:szCs w:val="28"/>
                  </w:rPr>
                  <w:t>1</w:t>
                </w:r>
                <w:r w:rsidR="002157C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7"/>
                    <w:rFonts w:hint="eastAsia"/>
                    <w:sz w:val="28"/>
                    <w:szCs w:val="28"/>
                  </w:rPr>
                  <w:t>—</w:t>
                </w:r>
              </w:p>
              <w:p w:rsidR="00FC0F51" w:rsidRPr="00F9088F" w:rsidRDefault="00FC0F51" w:rsidP="00F9088F">
                <w:pPr>
                  <w:rPr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89" w:rsidRDefault="00F64889" w:rsidP="00FC0F51">
      <w:r>
        <w:separator/>
      </w:r>
    </w:p>
  </w:footnote>
  <w:footnote w:type="continuationSeparator" w:id="1">
    <w:p w:rsidR="00F64889" w:rsidRDefault="00F64889" w:rsidP="00FC0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CF5"/>
    <w:multiLevelType w:val="hybridMultilevel"/>
    <w:tmpl w:val="1B9E0034"/>
    <w:lvl w:ilvl="0" w:tplc="342C09E0">
      <w:start w:val="1"/>
      <w:numFmt w:val="japaneseCounting"/>
      <w:lvlText w:val="第%1章"/>
      <w:lvlJc w:val="left"/>
      <w:pPr>
        <w:ind w:left="1565" w:hanging="945"/>
      </w:pPr>
      <w:rPr>
        <w:rFonts w:hint="default"/>
        <w:sz w:val="31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>
    <w:nsid w:val="0C833CD2"/>
    <w:multiLevelType w:val="hybridMultilevel"/>
    <w:tmpl w:val="07A8068A"/>
    <w:lvl w:ilvl="0" w:tplc="EC4CC870">
      <w:start w:val="1"/>
      <w:numFmt w:val="japaneseCounting"/>
      <w:lvlText w:val="（%1）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</w:lvl>
  </w:abstractNum>
  <w:abstractNum w:abstractNumId="2">
    <w:nsid w:val="28295D69"/>
    <w:multiLevelType w:val="hybridMultilevel"/>
    <w:tmpl w:val="B66E13CC"/>
    <w:lvl w:ilvl="0" w:tplc="6E9E2966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AE7CD1"/>
    <w:multiLevelType w:val="hybridMultilevel"/>
    <w:tmpl w:val="60F88B6C"/>
    <w:lvl w:ilvl="0" w:tplc="48BCB9FE">
      <w:start w:val="1"/>
      <w:numFmt w:val="japaneseCounting"/>
      <w:lvlText w:val="第%1章"/>
      <w:lvlJc w:val="left"/>
      <w:pPr>
        <w:tabs>
          <w:tab w:val="num" w:pos="1965"/>
        </w:tabs>
        <w:ind w:left="1965" w:hanging="129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5"/>
        </w:tabs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5"/>
        </w:tabs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5"/>
        </w:tabs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20"/>
      </w:pPr>
    </w:lvl>
  </w:abstractNum>
  <w:abstractNum w:abstractNumId="4">
    <w:nsid w:val="3B3C2963"/>
    <w:multiLevelType w:val="hybridMultilevel"/>
    <w:tmpl w:val="7ED2E370"/>
    <w:lvl w:ilvl="0" w:tplc="F22C2E82">
      <w:start w:val="1"/>
      <w:numFmt w:val="japaneseCounting"/>
      <w:lvlText w:val="第%1章"/>
      <w:lvlJc w:val="left"/>
      <w:pPr>
        <w:ind w:left="1080" w:hanging="108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FA3B59"/>
    <w:multiLevelType w:val="hybridMultilevel"/>
    <w:tmpl w:val="83FE2454"/>
    <w:lvl w:ilvl="0" w:tplc="EC2A9542">
      <w:start w:val="1"/>
      <w:numFmt w:val="japaneseCounting"/>
      <w:lvlText w:val="第%1章"/>
      <w:lvlJc w:val="left"/>
      <w:pPr>
        <w:ind w:left="1080" w:hanging="108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0D3F73"/>
    <w:multiLevelType w:val="hybridMultilevel"/>
    <w:tmpl w:val="BF6E4F5E"/>
    <w:lvl w:ilvl="0" w:tplc="F8F8E292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245A2D"/>
    <w:multiLevelType w:val="singleLevel"/>
    <w:tmpl w:val="00000000"/>
    <w:lvl w:ilvl="0">
      <w:start w:val="1"/>
      <w:numFmt w:val="chineseCounting"/>
      <w:suff w:val="nothing"/>
      <w:lvlText w:val="（%1）"/>
      <w:lvlJc w:val="left"/>
    </w:lvl>
  </w:abstractNum>
  <w:abstractNum w:abstractNumId="8">
    <w:nsid w:val="66273820"/>
    <w:multiLevelType w:val="multilevel"/>
    <w:tmpl w:val="66273820"/>
    <w:lvl w:ilvl="0">
      <w:start w:val="1"/>
      <w:numFmt w:val="japaneseCounting"/>
      <w:lvlText w:val="第%1章"/>
      <w:lvlJc w:val="left"/>
      <w:pPr>
        <w:tabs>
          <w:tab w:val="num" w:pos="4460"/>
        </w:tabs>
        <w:ind w:left="4460" w:hanging="12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4040"/>
        </w:tabs>
        <w:ind w:left="4040" w:hanging="420"/>
      </w:pPr>
    </w:lvl>
    <w:lvl w:ilvl="2">
      <w:start w:val="1"/>
      <w:numFmt w:val="lowerRoman"/>
      <w:lvlText w:val="%3."/>
      <w:lvlJc w:val="right"/>
      <w:pPr>
        <w:tabs>
          <w:tab w:val="num" w:pos="4460"/>
        </w:tabs>
        <w:ind w:left="4460" w:hanging="420"/>
      </w:pPr>
    </w:lvl>
    <w:lvl w:ilvl="3">
      <w:start w:val="1"/>
      <w:numFmt w:val="decimal"/>
      <w:lvlText w:val="%4."/>
      <w:lvlJc w:val="left"/>
      <w:pPr>
        <w:tabs>
          <w:tab w:val="num" w:pos="4880"/>
        </w:tabs>
        <w:ind w:left="4880" w:hanging="420"/>
      </w:pPr>
    </w:lvl>
    <w:lvl w:ilvl="4">
      <w:start w:val="1"/>
      <w:numFmt w:val="lowerLetter"/>
      <w:lvlText w:val="%5)"/>
      <w:lvlJc w:val="left"/>
      <w:pPr>
        <w:tabs>
          <w:tab w:val="num" w:pos="5300"/>
        </w:tabs>
        <w:ind w:left="5300" w:hanging="420"/>
      </w:pPr>
    </w:lvl>
    <w:lvl w:ilvl="5">
      <w:start w:val="1"/>
      <w:numFmt w:val="lowerRoman"/>
      <w:lvlText w:val="%6."/>
      <w:lvlJc w:val="right"/>
      <w:pPr>
        <w:tabs>
          <w:tab w:val="num" w:pos="5720"/>
        </w:tabs>
        <w:ind w:left="5720" w:hanging="420"/>
      </w:pPr>
    </w:lvl>
    <w:lvl w:ilvl="6">
      <w:start w:val="1"/>
      <w:numFmt w:val="decimal"/>
      <w:lvlText w:val="%7."/>
      <w:lvlJc w:val="left"/>
      <w:pPr>
        <w:tabs>
          <w:tab w:val="num" w:pos="6140"/>
        </w:tabs>
        <w:ind w:left="6140" w:hanging="420"/>
      </w:pPr>
    </w:lvl>
    <w:lvl w:ilvl="7">
      <w:start w:val="1"/>
      <w:numFmt w:val="lowerLetter"/>
      <w:lvlText w:val="%8)"/>
      <w:lvlJc w:val="left"/>
      <w:pPr>
        <w:tabs>
          <w:tab w:val="num" w:pos="6560"/>
        </w:tabs>
        <w:ind w:left="6560" w:hanging="420"/>
      </w:pPr>
    </w:lvl>
    <w:lvl w:ilvl="8">
      <w:start w:val="1"/>
      <w:numFmt w:val="lowerRoman"/>
      <w:lvlText w:val="%9."/>
      <w:lvlJc w:val="right"/>
      <w:pPr>
        <w:tabs>
          <w:tab w:val="num" w:pos="6980"/>
        </w:tabs>
        <w:ind w:left="6980" w:hanging="420"/>
      </w:pPr>
    </w:lvl>
  </w:abstractNum>
  <w:abstractNum w:abstractNumId="9">
    <w:nsid w:val="6B2E1E7B"/>
    <w:multiLevelType w:val="hybridMultilevel"/>
    <w:tmpl w:val="D45A0F9A"/>
    <w:lvl w:ilvl="0" w:tplc="D9ECB73A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1A93062"/>
    <w:multiLevelType w:val="multilevel"/>
    <w:tmpl w:val="71A93062"/>
    <w:lvl w:ilvl="0">
      <w:start w:val="6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60B4970"/>
    <w:multiLevelType w:val="hybridMultilevel"/>
    <w:tmpl w:val="C8166AFE"/>
    <w:lvl w:ilvl="0" w:tplc="874E4AE6">
      <w:start w:val="1"/>
      <w:numFmt w:val="japaneseCounting"/>
      <w:lvlText w:val="第%1章"/>
      <w:lvlJc w:val="left"/>
      <w:pPr>
        <w:ind w:left="945" w:hanging="945"/>
      </w:pPr>
      <w:rPr>
        <w:rFonts w:hint="default"/>
        <w:sz w:val="3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evenAndOddHeaders/>
  <w:drawingGridHorizontalSpacing w:val="159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0F51"/>
    <w:rsid w:val="000B168E"/>
    <w:rsid w:val="001316FA"/>
    <w:rsid w:val="002157C2"/>
    <w:rsid w:val="00310EB3"/>
    <w:rsid w:val="00414F9E"/>
    <w:rsid w:val="00417672"/>
    <w:rsid w:val="00492A7B"/>
    <w:rsid w:val="004F7FCC"/>
    <w:rsid w:val="005C35E1"/>
    <w:rsid w:val="00655179"/>
    <w:rsid w:val="00682A5F"/>
    <w:rsid w:val="006F5C4F"/>
    <w:rsid w:val="00712255"/>
    <w:rsid w:val="008F60E0"/>
    <w:rsid w:val="00910A35"/>
    <w:rsid w:val="00917155"/>
    <w:rsid w:val="0092009E"/>
    <w:rsid w:val="00964EE1"/>
    <w:rsid w:val="00987381"/>
    <w:rsid w:val="009A4266"/>
    <w:rsid w:val="00A42E52"/>
    <w:rsid w:val="00CA3238"/>
    <w:rsid w:val="00CB7B78"/>
    <w:rsid w:val="00D4276F"/>
    <w:rsid w:val="00DB34B6"/>
    <w:rsid w:val="00DB4818"/>
    <w:rsid w:val="00E807B6"/>
    <w:rsid w:val="00E826E2"/>
    <w:rsid w:val="00E9195A"/>
    <w:rsid w:val="00F01C90"/>
    <w:rsid w:val="00F64889"/>
    <w:rsid w:val="00F9088F"/>
    <w:rsid w:val="00FC0F51"/>
    <w:rsid w:val="08AC4160"/>
    <w:rsid w:val="0A890E12"/>
    <w:rsid w:val="0DBF6F50"/>
    <w:rsid w:val="5BFE6BA1"/>
    <w:rsid w:val="7B9C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F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0F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C0F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C0F5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FC0F51"/>
    <w:rPr>
      <w:b/>
    </w:rPr>
  </w:style>
  <w:style w:type="character" w:styleId="a7">
    <w:name w:val="page number"/>
    <w:basedOn w:val="a0"/>
    <w:rsid w:val="00F9088F"/>
  </w:style>
  <w:style w:type="paragraph" w:styleId="a8">
    <w:name w:val="List Paragraph"/>
    <w:basedOn w:val="a"/>
    <w:uiPriority w:val="99"/>
    <w:unhideWhenUsed/>
    <w:rsid w:val="00F01C90"/>
    <w:pPr>
      <w:ind w:firstLineChars="200" w:firstLine="420"/>
    </w:pPr>
  </w:style>
  <w:style w:type="paragraph" w:styleId="a9">
    <w:name w:val="Body Text Indent"/>
    <w:basedOn w:val="a"/>
    <w:link w:val="Char"/>
    <w:rsid w:val="00E807B6"/>
    <w:pPr>
      <w:spacing w:line="60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缩进 Char"/>
    <w:basedOn w:val="a0"/>
    <w:link w:val="a9"/>
    <w:rsid w:val="00E807B6"/>
    <w:rPr>
      <w:rFonts w:ascii="仿宋_GB2312" w:eastAsia="仿宋_GB2312"/>
      <w:kern w:val="2"/>
      <w:sz w:val="32"/>
      <w:szCs w:val="32"/>
    </w:rPr>
  </w:style>
  <w:style w:type="paragraph" w:styleId="aa">
    <w:name w:val="Body Text"/>
    <w:basedOn w:val="a"/>
    <w:link w:val="Char0"/>
    <w:rsid w:val="00E807B6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0">
    <w:name w:val="正文文本 Char"/>
    <w:basedOn w:val="a0"/>
    <w:link w:val="aa"/>
    <w:rsid w:val="00E807B6"/>
    <w:rPr>
      <w:rFonts w:ascii="仿宋_GB2312" w:eastAsia="仿宋_GB2312"/>
      <w:kern w:val="2"/>
      <w:sz w:val="32"/>
      <w:szCs w:val="32"/>
    </w:rPr>
  </w:style>
  <w:style w:type="paragraph" w:styleId="2">
    <w:name w:val="Body Text Indent 2"/>
    <w:basedOn w:val="a"/>
    <w:link w:val="2Char"/>
    <w:rsid w:val="0065517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655179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b">
    <w:name w:val="小节标题"/>
    <w:basedOn w:val="a"/>
    <w:next w:val="a"/>
    <w:rsid w:val="00655179"/>
    <w:pPr>
      <w:widowControl/>
      <w:spacing w:before="175" w:after="102" w:line="351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6C130-97DA-4150-AEE2-781A8EAB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551</Words>
  <Characters>3147</Characters>
  <Application>Microsoft Office Word</Application>
  <DocSecurity>0</DocSecurity>
  <Lines>26</Lines>
  <Paragraphs>7</Paragraphs>
  <ScaleCrop>false</ScaleCrop>
  <Company>CHINA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Administrator.PC8148-20120511</dc:creator>
  <cp:lastModifiedBy>Windows 用户</cp:lastModifiedBy>
  <cp:revision>38</cp:revision>
  <dcterms:created xsi:type="dcterms:W3CDTF">2014-10-29T12:08:00Z</dcterms:created>
  <dcterms:modified xsi:type="dcterms:W3CDTF">2017-03-14T07:35:00Z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