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559" w:tblpY="138"/>
        <w:tblOverlap w:val="never"/>
        <w:tblW w:w="8937" w:type="dxa"/>
        <w:tblCellSpacing w:w="15" w:type="dxa"/>
        <w:tblInd w:w="0" w:type="dxa"/>
        <w:tblLayout w:type="fixed"/>
        <w:tblCellMar>
          <w:top w:w="15" w:type="dxa"/>
          <w:left w:w="15" w:type="dxa"/>
          <w:bottom w:w="15" w:type="dxa"/>
          <w:right w:w="15" w:type="dxa"/>
        </w:tblCellMar>
      </w:tblPr>
      <w:tblGrid>
        <w:gridCol w:w="8937"/>
      </w:tblGrid>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outlineLvl w:val="9"/>
              <w:rPr>
                <w:rFonts w:hint="eastAsia" w:ascii="仿宋" w:hAnsi="仿宋" w:eastAsia="仿宋" w:cs="仿宋"/>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 </w:t>
            </w:r>
          </w:p>
        </w:tc>
      </w:tr>
      <w:tr>
        <w:tblPrEx>
          <w:tblLayout w:type="fixed"/>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jc w:val="center"/>
              <w:textAlignment w:val="auto"/>
              <w:outlineLvl w:val="9"/>
              <w:rPr>
                <w:rFonts w:hint="eastAsia" w:ascii="仿宋" w:hAnsi="仿宋" w:eastAsia="仿宋" w:cs="仿宋"/>
                <w:color w:val="auto"/>
                <w:sz w:val="32"/>
                <w:szCs w:val="32"/>
                <w:lang w:val="en-US" w:eastAsia="zh-CN"/>
              </w:rPr>
            </w:pPr>
            <w:r>
              <w:rPr>
                <w:rFonts w:hint="eastAsia" w:asciiTheme="majorEastAsia" w:hAnsiTheme="majorEastAsia" w:eastAsiaTheme="majorEastAsia" w:cstheme="majorEastAsia"/>
                <w:color w:val="auto"/>
                <w:sz w:val="44"/>
                <w:szCs w:val="44"/>
              </w:rPr>
              <w:t>吉林省反不正当竞争条例</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638" w:leftChars="0" w:right="644" w:rightChars="204" w:hanging="638" w:hangingChars="202"/>
              <w:jc w:val="both"/>
              <w:textAlignment w:val="auto"/>
              <w:outlineLvl w:val="9"/>
              <w:rPr>
                <w:rFonts w:hint="eastAsia" w:ascii="仿宋" w:hAnsi="仿宋" w:eastAsia="仿宋" w:cs="仿宋"/>
                <w:color w:val="auto"/>
                <w:sz w:val="32"/>
                <w:szCs w:val="32"/>
                <w:lang w:eastAsia="zh-CN"/>
              </w:rPr>
            </w:pPr>
            <w:r>
              <w:rPr>
                <w:rFonts w:hint="eastAsia" w:ascii="楷体" w:hAnsi="楷体" w:eastAsia="楷体" w:cs="楷体"/>
                <w:color w:val="auto"/>
                <w:sz w:val="32"/>
                <w:szCs w:val="32"/>
                <w:lang w:eastAsia="zh-CN"/>
              </w:rPr>
              <w:t>　　（1996年5月17日吉林省第八届人民代表大会常务委员会第二十四次会议通过　根据1997年11月14日吉林省第八届人民代表大会常务委员会第三十四次会议《关于修改＜吉林省反不正当竞争条例＞的决定》修改）</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为维护市场秩序，制止不正当竞争行为，保护公平竞争和经营者、消费者的合法权益，保障社会主义市场经济健康发展，根据《</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"http://law.npc.gov.cn:80/FLFG/flfgByID.action?txtid=1&amp;flfgID=170&amp;showDetailType=QW"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中华人民共和国反不正当竞争法</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》（以下简称《反不正当竞争法》）和有关法律、法规的规定，结合本省实际情况，制定本条例。</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仿宋" w:hAnsi="仿宋" w:eastAsia="仿宋" w:cs="仿宋"/>
                <w:color w:val="auto"/>
                <w:sz w:val="32"/>
                <w:szCs w:val="32"/>
              </w:rPr>
              <w:t>　本条例适用于在本省行政区域内从事商品经营或者营利性服务的单位和个人（以下简称为经营者）以及有关组织。</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仿宋" w:hAnsi="仿宋" w:eastAsia="仿宋" w:cs="仿宋"/>
                <w:color w:val="auto"/>
                <w:sz w:val="32"/>
                <w:szCs w:val="32"/>
              </w:rPr>
              <w:t>　各级人民政府应当加强对反不正当竞争工作的组织和领导，发挥社会监督和舆论监督的作用。</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县级以上人民政府工商行政管理部门对不正当竞争行为进行监督检查，法律、法规规定由其他部门监督检查的，依照其规定。工商行政管理部门在监督检查不正当竞争行为时，行使《反不正当竞争法》第十七条规定的职权。</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对有可能被转移、隐匿、销毁的与不正当竞争有关的财物，经有管辖权的县级以上工商行政管理部门负责人批准，可以先行登记保存，并可以通知仓储、运输、银行等有关单位依法协助办理；当事人或者有关人员对登记保存的财物不得销毁或者转移，商品不得销售。</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工商行政管理部门和监督检查人员依法对不正当竞争行为进行监督检查时，任何机关、团体、企业事业单位和个人不得干预。</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仿宋" w:hAnsi="仿宋" w:eastAsia="仿宋" w:cs="仿宋"/>
                <w:color w:val="auto"/>
                <w:sz w:val="32"/>
                <w:szCs w:val="32"/>
              </w:rPr>
              <w:t>　一切组织和个人都有权举报、揭发不正当竞争行为。工商行政管理部门发现或者接到举报、揭发违反《反不正当竞争法》和本条例</w:t>
            </w:r>
            <w:r>
              <w:rPr>
                <w:rFonts w:hint="eastAsia" w:ascii="仿宋" w:hAnsi="仿宋" w:eastAsia="仿宋" w:cs="仿宋"/>
                <w:color w:val="FF0000"/>
                <w:sz w:val="32"/>
                <w:szCs w:val="32"/>
                <w:lang w:eastAsia="zh-CN"/>
              </w:rPr>
              <w:t>的</w:t>
            </w:r>
            <w:r>
              <w:rPr>
                <w:rFonts w:hint="eastAsia" w:ascii="仿宋" w:hAnsi="仿宋" w:eastAsia="仿宋" w:cs="仿宋"/>
                <w:color w:val="auto"/>
                <w:sz w:val="32"/>
                <w:szCs w:val="32"/>
              </w:rPr>
              <w:t>行为，必须及时查处。举报、揭发人要求保密的，应当予以保密。对举报不正当竞争行为有功人员，由工商行政管理部门给予奖励。</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经营者不得实施下列侵犯商标专用权行为：</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（一）未经注册商标所有人的许可，在同一种商品或者类似商品上使用与其注册商标相同或者近似的商标；</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（二）伪造、擅自制造他人注册商标标识或者销售伪造、擅自制造的注册商标标识。</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经营者不得擅自使用知名商品特有的名称、包装、装潢，或者使用与知名商品近似的名称、包装、装潢，造成和他人知名商品相混淆，使购买者误认为是该知名商品。</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县级以上工商行政管理部门在监督检查仿冒知名商品特有的名称、包装、装潢的不正当竞争行为时，对知名商品和特有的名称、包装、装潢一并予以认定。</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经营者不得采用下列手段，对商品作虚假的或者引人误解的表示：</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（一）在商品上伪造或者冒用认证标志、名优标志等质量标志；</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（二）使用已被取消的认证标志、名优标志；</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（三）使用的认证标志、名优标志，与实际所获认证标志、名优标志不符；</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（四）国产内销商品未使用中文标注；</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（五）伪造或者冒用质量检测合格证明、许可证号或者监制单位；</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（六）伪造或者冒用他人厂名、厂址、商品加工地、生产地；</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（七）伪造商品名称、规格、等级、制作成份和含量；</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（八）伪造或未标明生产日期、安全使用期或者失效日期。</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经营者不得以租赁他人专门柜台、场地、设备等方式，冒充他人名义进行销售活动。</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经营者不得在未取得专利权的物品上或者在该物品的广告中使用专利的标注。</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经营者不得以排挤竞争对手为目的，实施下列欺行霸市行为：</w:t>
            </w:r>
            <w:bookmarkStart w:id="0" w:name="_GoBack"/>
            <w:bookmarkEnd w:id="0"/>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（一）迫使他人同自己交易；</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（二）迫使他人之间进行交易；</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（三）迫使竞争对手回避或者放弃与自己竞争；</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（四）阻碍他人之间建立正常的交易关系；</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（五）扰乱、妨碍竞争对手的正常经营活动。</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经营者不得捏造、散布虚伪事实，损害他人商业信誉、商品声誉。</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经营者不得采用给予财物或者其他手段进行贿赂，以销售或者购买商品。</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经营者不得利用下列方法，对商品价格、质量、性能、用途、产地、生产者、有效期限等作引人误解的虚假宣传：</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（一）雇佣他人进行欺骗性的销售诱导；</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（二）作虚假的现场演示和说明；</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（三）张贴、散发、邮寄虚假的产品说明书和其他宣传材料；</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（四）在经营场所对商品作虚假的文字标注、说明或者解释；</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（五）利用新闻媒介作虚假的宣传。</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经营者不得采用《反不正当竞争法》第十条所列手段侵犯商业秘密。</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经营者不得以获取、使用商业秘密为目的，聘用掌握权利人商业秘密的人员。</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经营者不得明知对方是以不正当手段获取的商业秘密，仍向对方获取或者向其他经营者披露该项商业秘密。</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经营者不得从事《反不正当竞争法》第十三条所禁止的有奖销售行为。</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经营者不得对所设奖的种类、中奖概率、奖金额、奖品种类、数量、质量、提供方法等作虚假的表示。</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经营者不得故意将设有中奖标志的商品、奖券不投入市场或者不与商品、奖券同时投入市场。</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经营者在销售商品中，不得违背购买者的意愿搭售商品、商品零配件或者附加不合理的条件。</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投标者</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招标者不得采取下列方法排挤其他对手的公平竞争：</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（一）投标者之间串通，抬高或者压低投标报价；</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（二）投标者之间约定，在招标项目中轮流以高价位或者低价位中标；</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（三）投标者之间就标价之外其他事项进行串通，以排挤其他竞争对手；</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（四）招标者在公开开标之前开启标书，并告知尚未报送标书的其他投标者；</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numPr>
                <w:ilvl w:val="0"/>
                <w:numId w:val="1"/>
              </w:numPr>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投标者就其标书的有关事项作说明时，招标者故意作引导性提问，以促成该投标者中标；</w:t>
            </w:r>
          </w:p>
          <w:p>
            <w:pPr>
              <w:keepNext w:val="0"/>
              <w:keepLines w:val="0"/>
              <w:pageBreakBefore w:val="0"/>
              <w:widowControl/>
              <w:numPr>
                <w:ilvl w:val="0"/>
                <w:numId w:val="1"/>
              </w:numPr>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投标者与招标者约定，在公开投标时压低标价，中标后再给招标者额外补偿；</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）招标者向投标者泄露招标底价；</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（八）招标者允许不符合投标条件的投标者参加投标。</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公用企业或者其他依法具有独占地位的经营者，不得实施下列不正当竞争行为：</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（一）限定用户、消费者购买和使用其提供的相关商品；</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（二）限定用户、消费者购买和使用其指定的经营者生产或者经销的商品；</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（三）强制用户、消费者购买其提供的不必要的商品及配件；</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（四）强制用户、消费者购买其指定的经营者提供的不必要的商品；</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（五）以检验商品质量、性能等为借口，阻碍用户、消费者购买、使用其他经营者提供的符合技术标准要求的其他商品；</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（六）对</w:t>
            </w:r>
            <w:r>
              <w:rPr>
                <w:rFonts w:hint="eastAsia" w:ascii="仿宋" w:hAnsi="仿宋" w:eastAsia="仿宋" w:cs="仿宋"/>
                <w:color w:val="FF0000"/>
                <w:sz w:val="32"/>
                <w:szCs w:val="32"/>
                <w:lang w:eastAsia="zh-CN"/>
              </w:rPr>
              <w:t>抑制</w:t>
            </w:r>
            <w:r>
              <w:rPr>
                <w:rFonts w:hint="eastAsia" w:ascii="仿宋" w:hAnsi="仿宋" w:eastAsia="仿宋" w:cs="仿宋"/>
                <w:color w:val="auto"/>
                <w:sz w:val="32"/>
                <w:szCs w:val="32"/>
              </w:rPr>
              <w:t>其不正当竞争行为的用户、消费者采取拒绝、中断、削减供应相关商品或者滥收费用；</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（七）其他限制公平竞争的行为。</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新闻单位及新闻工作者不得对经营者或者商品作虚假新闻报道。</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各级人民政府及其所属部门、具有行政职能的事业单位及其工作人员不得采取下列方法干预公平竞争：</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（一）在证照发放、项目审批、工程招标、产品质量鉴定、资产评估、土地使用权出让等方面，对具有同等资质条件的经营者实行不平等待遇；</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（二）非法限定经营者经销商品的范围、方式、数量；</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（三）滥用行政权力，用发布命令、设立关卡、提高检验标准、增加审批手续等手段，限制外地商品进入本地市场，或者限制本地商品流入外地市场；</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（四）限定他人购买其指定的经营者的商品；</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（五）利用职权限制经营者公平竞争，从中谋取非法利益。</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rPr>
              <w:t>　经营者违反本条例，给被侵害的经营者造成损害的，应当承担损害赔偿责任。被侵害的经营者的损失难以计算的，赔偿额为侵权人在侵权期间因侵权所获得的利润或被侵害的经营者在正常经营情况下同等期间内所获得的利润，并应承担被侵害的经营者因调查该侵权人侵害其合法权益的不正当竞争行为所支付的合理</w:t>
            </w:r>
            <w:r>
              <w:rPr>
                <w:rFonts w:hint="eastAsia" w:ascii="仿宋" w:hAnsi="仿宋" w:eastAsia="仿宋" w:cs="仿宋"/>
                <w:color w:val="FF0000"/>
                <w:sz w:val="32"/>
                <w:szCs w:val="32"/>
              </w:rPr>
              <w:t>费用</w:t>
            </w:r>
            <w:r>
              <w:rPr>
                <w:rFonts w:hint="eastAsia" w:ascii="仿宋" w:hAnsi="仿宋" w:eastAsia="仿宋" w:cs="仿宋"/>
                <w:color w:val="auto"/>
                <w:sz w:val="32"/>
                <w:szCs w:val="32"/>
              </w:rPr>
              <w:t>。</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被侵害的经营者要求赔偿经济损失的，可经双方当事人协商解决，也可以依法向人民法院提起诉讼。</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因侵权人的不正当竞争行为而使被侵害的经营者信誉遭受损害时，被侵害的经营者可以请求人民法院采取必要措施，恢复其名誉。</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第二十三条</w:t>
            </w:r>
            <w:r>
              <w:rPr>
                <w:rFonts w:hint="eastAsia" w:ascii="仿宋" w:hAnsi="仿宋" w:eastAsia="仿宋" w:cs="仿宋"/>
                <w:color w:val="auto"/>
                <w:sz w:val="32"/>
                <w:szCs w:val="32"/>
              </w:rPr>
              <w:t>　经营者违反本条例第九条规定，由工商行政管理部门责令其改正，没收违法所得，并处以违法所得一倍以上五倍以下的罚款。</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rPr>
              <w:t>　经营者违反本条例第十条规定，由工商行政管理部门责令其停止违法行为，消除影响，没收违法所得和违法物品，并处以违法所得一倍以上三倍以下的罚款。</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rPr>
              <w:t>　经营者违反本条例第十一条规定，由工商行政管理部门责令其停止违法行为，消除影响，没收违法所得和违法物品，并处以５万元以下的罚款；经营者违反本条例第十二条规定，由工商行政管理部门责令其停止违法行为，消除影响，并按法律规定赔偿经济损失。</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rPr>
              <w:t>　经营者违反本条例第六条、第七条、第八条、第十三条、第十四条、第十五条、第十六条、第十八条、第十九条规定，由工商行政管理部门依照《反不正当竞争法》的有关规定进行处罚。</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第二十七条</w:t>
            </w:r>
            <w:r>
              <w:rPr>
                <w:rFonts w:hint="eastAsia" w:ascii="仿宋" w:hAnsi="仿宋" w:eastAsia="仿宋" w:cs="仿宋"/>
                <w:color w:val="auto"/>
                <w:sz w:val="32"/>
                <w:szCs w:val="32"/>
              </w:rPr>
              <w:t>　政府及其所属部门、具有行政职权的事业单位违反本条例第二十一条规定，由上级机关责令其改正或予以纠正；情节严重的，由同级或者上级机关对作出决定的单位领导和直接责任人员给予行政处分，构成犯罪的，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rPr>
              <w:t>　经营者使用非暴力手段拒绝、阻碍监督检查部门依法监督检查不正当竞争行为的，由公安机关依照《</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"http://law.npc.gov.cn:80/FLFG/flfgByID.action?txtid=1&amp;flfgID=183&amp;showDetailType=QW"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中华人民共和国治安管理处罚条例</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》的规定予以处罚；经营者以暴力、胁迫等手段阻碍监督检查构成犯罪的，依法追究刑事责任。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rPr>
              <w:t>　当事人对处罚决定不服的，可以依法申请复议，或者向人民法院提起诉讼。</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当事人逾期不申请复议，也不向人民法院起诉，又不执行处罚决定的，作出行政处罚决定的工商行政管理部门可以申请人民法院强制执行。</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rPr>
              <w:t>　工商行政管理部门及其工作人员在监督检查不正当竞争行为时，应当依法行使职权。因违法行使职权而给经营者的合法财产造成损害的，应依法承担行政赔偿责任；工商行政管理部门的工作人员未履行职责，或者违法行使职权、玩忽职守或者故意包庇违法行为的，应给予行政处分，构成犯罪的，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rPr>
              <w:t>　本条例自1996年7月1日起施行。</w:t>
            </w:r>
          </w:p>
        </w:tc>
      </w:tr>
    </w:tbl>
    <w:p>
      <w:pPr>
        <w:keepNext w:val="0"/>
        <w:keepLines w:val="0"/>
        <w:pageBreakBefore w:val="0"/>
        <w:widowControl/>
        <w:kinsoku/>
        <w:wordWrap/>
        <w:overflowPunct/>
        <w:topLinePunct w:val="0"/>
        <w:autoSpaceDE/>
        <w:autoSpaceDN/>
        <w:bidi w:val="0"/>
        <w:adjustRightInd w:val="0"/>
        <w:snapToGrid/>
        <w:spacing w:after="0" w:line="375" w:lineRule="atLeast"/>
        <w:ind w:left="0" w:leftChars="0" w:right="0" w:rightChars="0" w:firstLine="632" w:firstLineChars="20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kinsoku/>
        <w:wordWrap/>
        <w:overflowPunct/>
        <w:topLinePunct w:val="0"/>
        <w:autoSpaceDE/>
        <w:autoSpaceDN/>
        <w:bidi w:val="0"/>
        <w:adjustRightInd w:val="0"/>
        <w:snapToGrid/>
        <w:spacing w:after="0" w:line="220" w:lineRule="atLeast"/>
        <w:ind w:left="0" w:leftChars="0" w:right="0" w:rightChars="0" w:firstLine="632" w:firstLineChars="200"/>
        <w:jc w:val="both"/>
        <w:textAlignment w:val="auto"/>
        <w:outlineLvl w:val="9"/>
      </w:pPr>
    </w:p>
    <w:sectPr>
      <w:footerReference r:id="rId3" w:type="default"/>
      <w:footerReference r:id="rId4" w:type="even"/>
      <w:pgSz w:w="11906" w:h="16838"/>
      <w:pgMar w:top="2041" w:right="1531" w:bottom="2041" w:left="1531" w:header="708" w:footer="709"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378.95pt;margin-top:-47.2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left:18pt;margin-top:-47.2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606C0"/>
    <w:multiLevelType w:val="singleLevel"/>
    <w:tmpl w:val="57F606C0"/>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58"/>
  <w:drawingGridVerticalSpacing w:val="290"/>
  <w:displayHorizontalDrawingGridEvery w:val="0"/>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323B43"/>
    <w:rsid w:val="003D37D8"/>
    <w:rsid w:val="00426133"/>
    <w:rsid w:val="004358AB"/>
    <w:rsid w:val="007F3344"/>
    <w:rsid w:val="008B7726"/>
    <w:rsid w:val="009B3F3B"/>
    <w:rsid w:val="00D31D50"/>
    <w:rsid w:val="14604AD6"/>
    <w:rsid w:val="15DD2C34"/>
    <w:rsid w:val="3B4D6E8E"/>
    <w:rsid w:val="4C2A199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宋体" w:cstheme="minorBidi"/>
      <w:sz w:val="32"/>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nhideWhenUsed/>
    <w:qFormat/>
    <w:uiPriority w:val="99"/>
    <w:rPr>
      <w:color w:val="0000FF"/>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702</Words>
  <Characters>4007</Characters>
  <Lines>33</Lines>
  <Paragraphs>9</Paragraphs>
  <ScaleCrop>false</ScaleCrop>
  <LinksUpToDate>false</LinksUpToDate>
  <CharactersWithSpaces>4700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hehe</dc:creator>
  <cp:lastModifiedBy>hehe</cp:lastModifiedBy>
  <dcterms:modified xsi:type="dcterms:W3CDTF">2016-10-07T11:15:05Z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