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广东省气象管理规定</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（1997年1月18日广东省第八届人民代表大会常务委员会第二十六次会议通过)</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rPr>
          <w:rFonts w:hint="eastAsia" w:ascii="仿宋_GB2312" w:hAnsi="仿宋_GB2312" w:eastAsia="仿宋_GB2312" w:cs="仿宋_GB2312"/>
          <w:b w:val="0"/>
          <w:bCs w:val="0"/>
          <w:sz w:val="32"/>
          <w:szCs w:val="32"/>
        </w:rPr>
      </w:pPr>
      <w:r>
        <w:rPr>
          <w:rFonts w:hint="eastAsia"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为了发展气象事业，保障人民生命财产的安全，促进经济建设和社会发展，根据《中华人民共和国气象条例》和有关法律、法规，结合我省的实际，制定本规定。</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在我省行政区域及我省管辖的其他海域从事气象探测、预报、服务和气象灾害防御、气候资源利用等活动，应遵守本规定。</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县级以上气象主管机构是同级人民政府管理气象工作的部门，负责本规定的实施。</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省气象主管机构对有关部门的气象工作实施行业管理。</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县级以上气象主管机构在承担国家气象事业任务的同时，应当做好主要为当地经济建设和社会发展服务的地方气象事业项目。地方气象事业项目主要包括：</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（一）建立气象监测站点及其探测情报的传输网络；</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（二）建立气象卫星遥感系统、森林火险天气预报系统、电视天气预报制作系统、雷电监测系统；</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（三）为工农业生产、城市建设、气候资源开发利用服务的项目；</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（四）人工影响天气作业及其试验研究；</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（五）社会公益气象服务和农村气象科技服务。</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县级以上人民政府应当把地方气象事业项目的基本建设投资、事业费，纳入本级国民经济和社会发展的年度、中长期计划和财政预算，并统筹安排地方性补贴。</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气象台站的站址及其设施的安置应当长期保持稳定，气象探测环境应当受到保护。</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确因交通、能源、水利等基础设施建设和城市规划的需要，在气象探测环境保护范围内进行工程建设的，需征得省气象主管机构同意。需要搬迁气象台站的，必须依照《中华人民共和国气象条例》的规定报经批准。气象台站新址由省气象主管机构会同有关部门选定。迁移并重建气象台站及其设施的费用，由建设单位承担。</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任何单位和个人不得擅自移动、损毁和侵占气象台站的探测场地、仪器、设施、标志和气象通信设施。</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rPr>
        <w:t>　各级无线电管理机构应当保护气象台站大气探测系统（含气象卫星、雷达等）、天气警报系统、自动站、中转站等气象信息网络使用的无线电信道和频率。</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县级以上气象主管机构根据国家和地方气象事业发展需要，增设或迁移气象探测站点和重新布设气象设备，各级人民政府及有关部门应当在用地和选址等方面给予支持。</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气象主管机构所属的气象台站应当按照职责分工统一制作和发布气象预报和灾害性天气警报，根据天气变化情况及时发布补充的或者订正的预报和警报，其他组织和个人不得以任何形式向社会公开发布气象预报和警报。</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广播、电视、报刊、声讯台、寻呼台、计算机公共网络等传播媒介向社会公开播发的气象预报和灾害性天气警报，必须是县级以上气象主管机构所属的气象台站直接提供的适时气象信息。</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气象主管机构所属台站临时发布的重大灾害性天气警报及其补充的或者订正的气象预报，应当及时向广播电台、电视台及其他广播单位提供，广播电台、电视台及其他广播单位应及时增播或插播。</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有偿使用气象主管机构及其所属台站所提供的气象信息的单位或个人，未经气象主管机构同意，不得转让气象信息。</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城市规划、大中型工程建设项目、农业新品种引进、气象能源开发以及非气象主管机构承担的大气环境评价等使用的气象资料，须经县级以上气象主管机构审查、鉴证。</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县级以上气象主管机构，应当加强雷电的监测、预报以及防御雷电灾害的技术研究和管理。</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为避免或减轻雷电灾害损失，县级以上气象主管机构对国家《建筑物防雷设计规范》规定的第一、二、三类防雷建筑物的防雷安全设施建设，提供技术服务并参加验收。</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防雷安全设施由当地气象主管机构定期检测。</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外国、境外的组织或个人单独或与境内的组织、个人合作，在我省行政区域及我省管辖的其他海域从事气象活动，须由省气象主管机构会同有关主管部门审核，报经国务院气象主管机构批准，获取的气象资料必须定期汇交给省气象主管机构。探测资料属中华人民共和国所有，资料提供者只享有使用权。</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违反本规定的，依照《中华人民共和国气象条例》和有关法律、法规的规定处罚。</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气象工作人员在发展气象事业、重大灾害性天气预报服务中做出显著成绩的，由同级人民政府或上级气象主管机构给予奖励；因玩忽职守，致使气象预报或者灾害性天气警报服务产生重大失误的，由其所在单位或者上级气象主管机构给予行政处分；构成犯罪的，由司法机关依法追究刑事责任。</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val="0"/>
          <w:sz w:val="32"/>
          <w:szCs w:val="32"/>
        </w:rPr>
        <w:t>本规定自1997年3月23日起施行。</w:t>
      </w:r>
      <w:bookmarkStart w:id="0" w:name="_GoBack"/>
      <w:bookmarkEnd w:id="0"/>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pStyle w:val="2"/>
        <w:adjustRightInd w:val="0"/>
        <w:snapToGrid w:val="0"/>
        <w:spacing w:after="0" w:line="580" w:lineRule="exact"/>
        <w:ind w:left="0" w:leftChars="0" w:firstLine="699" w:firstLineChars="221"/>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42B7119"/>
    <w:rsid w:val="3530510B"/>
    <w:rsid w:val="359A6968"/>
    <w:rsid w:val="3B436EA3"/>
    <w:rsid w:val="459A0014"/>
    <w:rsid w:val="49832B1E"/>
    <w:rsid w:val="4B7F2B0B"/>
    <w:rsid w:val="4E4F376E"/>
    <w:rsid w:val="50067A1E"/>
    <w:rsid w:val="51EF053D"/>
    <w:rsid w:val="53BA17FC"/>
    <w:rsid w:val="585415C6"/>
    <w:rsid w:val="58E96F68"/>
    <w:rsid w:val="59124C97"/>
    <w:rsid w:val="5AF1484F"/>
    <w:rsid w:val="5BBC5E8C"/>
    <w:rsid w:val="5F995B3A"/>
    <w:rsid w:val="60FA7A99"/>
    <w:rsid w:val="62F5388E"/>
    <w:rsid w:val="6377386C"/>
    <w:rsid w:val="65F354BC"/>
    <w:rsid w:val="66DE0521"/>
    <w:rsid w:val="69D84234"/>
    <w:rsid w:val="69DF4F18"/>
    <w:rsid w:val="6B6E4C81"/>
    <w:rsid w:val="6E1B076A"/>
    <w:rsid w:val="70043718"/>
    <w:rsid w:val="72E060D1"/>
    <w:rsid w:val="74717A14"/>
    <w:rsid w:val="795F0994"/>
    <w:rsid w:val="7B6A1C39"/>
    <w:rsid w:val="7C9E0BDA"/>
    <w:rsid w:val="7CCF59CD"/>
    <w:rsid w:val="7D46070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1">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2017-01-18T06:32:33Z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