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bookmarkStart w:id="0" w:name="_Toc462154090"/>
      <w:bookmarkStart w:id="1" w:name="_Toc462070656"/>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bookmarkStart w:id="2" w:name="_GoBack"/>
      <w:r>
        <w:rPr>
          <w:rFonts w:hint="eastAsia" w:asciiTheme="majorEastAsia" w:hAnsiTheme="majorEastAsia" w:eastAsiaTheme="majorEastAsia" w:cstheme="majorEastAsia"/>
          <w:sz w:val="44"/>
          <w:szCs w:val="44"/>
        </w:rPr>
        <w:t>阜阳市地下水保护条例</w:t>
      </w:r>
      <w:bookmarkEnd w:id="2"/>
      <w:bookmarkEnd w:id="0"/>
      <w:bookmarkEnd w:id="1"/>
    </w:p>
    <w:p>
      <w:pPr>
        <w:pageBreakBefore w:val="0"/>
        <w:widowControl w:val="0"/>
        <w:kinsoku/>
        <w:wordWrap/>
        <w:overflowPunct/>
        <w:topLinePunct w:val="0"/>
        <w:autoSpaceDE/>
        <w:autoSpaceDN/>
        <w:bidi w:val="0"/>
        <w:adjustRightInd/>
        <w:snapToGrid/>
        <w:spacing w:line="240" w:lineRule="auto"/>
        <w:ind w:left="0" w:leftChars="0" w:right="0" w:rightChars="0" w:firstLine="472"/>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（2016年6月30日阜阳市第四届人民代表大会常务委员会第五十一次会议通过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2016年7月29日安徽省第十二届人民代表大会常务委员会第三十一次会议批准）</w:t>
      </w:r>
    </w:p>
    <w:p>
      <w:pPr>
        <w:pageBreakBefore w:val="0"/>
        <w:widowControl w:val="0"/>
        <w:kinsoku/>
        <w:wordWrap/>
        <w:overflowPunct/>
        <w:topLinePunct w:val="0"/>
        <w:autoSpaceDE/>
        <w:autoSpaceDN/>
        <w:bidi w:val="0"/>
        <w:adjustRightInd/>
        <w:snapToGrid/>
        <w:spacing w:line="240" w:lineRule="auto"/>
        <w:ind w:left="0" w:leftChars="0" w:right="0" w:rightChars="0" w:firstLine="472"/>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为了加强地下水保护，合理开发地下水，实现地下水资源的可持续利用，根据《中华人民共和国水法》以及有关法律、行政法规，结合本市实际，制定本条例。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本条例适用于本市市、县（市）城市规划区内地下水保护、开发、节约、利用和管理活动。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地下水保护应当遵循统筹规划、限制开发、逐步退采、防止污染的原则。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市、县（市、区）人民政府应当将地下水保护、开发、节约、利用的主要指标纳入经济社会发展综合评价体系，严格考核管理。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市、县（市、区）人民政府应当将地下水保护、节约和管理等资金纳入同级财政预算。</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市、县（市、区）水行政主管部门按照规定的权限负责本行政区域地下水统一管理和监督工作。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发展改革、住房城乡建设、环境保护、国土资源、城乡规划、经济和信息化等有关部门按照职责分工，负责地下水保护、开发、节约、利用的有关工作。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市、县（市、区）人民政府及其有关部门应当采取多种形式，加强地下水节约、保护的宣传教育。鼓励和支持保护、开发、节约、利用、管理地下水和防止污染的先进科学技术的研究、推广和应用。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任何单位和个人都有保护、节约地下水的义务，有权对违法开发、违法利用、破坏和污染地下水的行为进行投诉、</w:t>
      </w:r>
      <w:r>
        <w:rPr>
          <w:rFonts w:hint="eastAsia" w:ascii="仿宋_GB2312" w:hAnsi="仿宋_GB2312" w:eastAsia="仿宋_GB2312" w:cs="仿宋_GB2312"/>
          <w:spacing w:val="-4"/>
          <w:sz w:val="32"/>
          <w:szCs w:val="32"/>
        </w:rPr>
        <w:t>举报。举报经查证属实的，水行政主管部门给予举报人表彰和奖励。</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对在保护、节约和管理地下水工作中取得突出成绩的单位和个人，市、县（市、区）人民政府应当给予表彰和奖励。</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规划与利用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市、县（市、区）水行政主管部门应当会同有关部门，编制地下水保护和利用规划，报同级人民政府批准，并报上一级水行政主管部门备案。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地下水保护和利用规划应当与国民经济和社会发展规划以及城市总体规划、土地利用总体规划等规划相协调。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国民经济和社会发展规划以及城市总体规划的编制、重大建设项目布局涉及地下水开发利用的，应当进行水资源论证，保障经济社会发展与水资源承载能力相适应。</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市人民政府应当组织水行政、国土资源、城乡规划等部门编制地下水严重超采区内限制开采区和禁止开采区划定方案，报省人民政府批准后公布实施。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市、县（市、区）水行政主管部门应当会同有关部门制定地下水超采区综合治理方案，划定并公布地面沉降控制区，确定超采区管理目标，报同级人民政府批准并报上一级水行政主管部门备案。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在地下水超采区，禁止农业、工业建设项目和服务业新增取用中深层及深层地下水，并逐步压减开采量，实现地下水采补平衡。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在地下水限制开采区，确需取用地下水的，由市水行政主管部门报经省水行政主管部门审查同意，通过核减取水单位地下水取水量和年度用水计划、关闭原有取水井，进行合理配置。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在地下水禁止开采区，禁止开凿新的取水井。统一规划建设替代水源，对已有的取水井，应当限期封闭。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第十二条</w:t>
      </w:r>
      <w:r>
        <w:rPr>
          <w:rFonts w:hint="eastAsia" w:ascii="仿宋_GB2312" w:hAnsi="仿宋_GB2312" w:eastAsia="仿宋_GB2312" w:cs="仿宋_GB2312"/>
          <w:spacing w:val="-4"/>
          <w:sz w:val="32"/>
          <w:szCs w:val="32"/>
        </w:rPr>
        <w:t xml:space="preserve">  地下水管理实行取用水总量控制和水位控制制度。</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市人民政府应当根据省人民政府下达的地下水取用水总量控制和水位控制指标，制定县（市、区）地下水取用水总量控制和水位控制指标。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市、县（市、区）水行政主管部门对地下水取用水总量接近控制指标的区域，应当限制审批建设项目新增取用地下水；对地下水取用水总量达到或者超过控制指标的区域，应当暂停审批建设项目新增取用地下水。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新建、改建、扩建建设项目取用地下水的，建设单位应当按照有关规定编制建设项目水资源论证报告书，依法办理取水许可审批手续。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取水量较少并对周围生态环境影响较小的建设项目，可以不编制水资源论证报告书，但应当依法填写水资源论证表，并报水行政主管部门。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建设单位未依法完成建设项目水资源论证工作的，审批机关不予批准其建设项目，建设单位不得擅自开工建设和投产使用。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未经许可，任何单位和个人不得取用地热水。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禁止将深层地下水作为地下水源热泵系统的水源。禁止在地下水饮用水水源保护区、地下水禁止开采区利用地下水源热泵系统取用地下水。</w:t>
      </w:r>
    </w:p>
    <w:p>
      <w:pPr>
        <w:pageBreakBefore w:val="0"/>
        <w:widowControl w:val="0"/>
        <w:kinsoku/>
        <w:wordWrap/>
        <w:overflowPunct/>
        <w:topLinePunct w:val="0"/>
        <w:autoSpaceDE/>
        <w:autoSpaceDN/>
        <w:bidi w:val="0"/>
        <w:adjustRightInd/>
        <w:snapToGrid/>
        <w:spacing w:line="240" w:lineRule="auto"/>
        <w:ind w:left="0" w:leftChars="0" w:right="0" w:rightChars="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地下水源热泵系统的建设和管理应当符合国家相关技术规范，取水井与回灌井应当布设在同一含水层位，保持合理的数量和间距，取水应当全部回灌到同一含水层，并不得对地下水造成污染。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第十七条</w:t>
      </w:r>
      <w:r>
        <w:rPr>
          <w:rFonts w:hint="eastAsia" w:ascii="仿宋_GB2312" w:hAnsi="仿宋_GB2312" w:eastAsia="仿宋_GB2312" w:cs="仿宋_GB2312"/>
          <w:spacing w:val="-4"/>
          <w:sz w:val="32"/>
          <w:szCs w:val="32"/>
        </w:rPr>
        <w:t xml:space="preserve">  经批准取用地下水的单位和个人，应当委托具有相应资质的凿井施工单位按照取水申请批准文件的规定开凿取水井。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取水工程或者设施竣工后，申请人应当向取水审批机关申请验收，经验收合格的，由审批机关核发取水许可证。</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节约、保护与治理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市、县（市、区）人民政府及其有关部门应当采取措施，加大节约用水方面的投入，推广节约用水新技术、新工艺，发展节水型工业、农业和服务业，建设节水型社会。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住房城乡建设等部门应当加强公共供水管网节水改造，降低管网漏损率。发展改革、经济和信息化部门应当制定调整产业结</w:t>
      </w:r>
      <w:r>
        <w:rPr>
          <w:rFonts w:hint="eastAsia" w:ascii="仿宋_GB2312" w:hAnsi="仿宋_GB2312" w:eastAsia="仿宋_GB2312" w:cs="仿宋_GB2312"/>
          <w:spacing w:val="-4"/>
          <w:sz w:val="32"/>
          <w:szCs w:val="32"/>
        </w:rPr>
        <w:t>构、鼓励发展节水型产业、限制高耗水高污染行业发展的政策措施。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新建、改建、扩建建设项目，应当制定节约用水措施方案，配套建设节约用水设施。节约用水设施应当与建设项目主体工程同时设计、同时施工、同时投产。节约用水设施未经验收或者验收不合格的，建设项目不得投产使用。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市、县（市、区）人民政府应当划定地下水饮用水水源保护区，制定地下水饮用水水源保护方案和突发事件应急预案，完善地下水饮用水水源地安全评估制度，强化地下水饮用水水源地应急管理，建立应急备用水源。</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环境保护部门应当会同有关部门强化地下水饮用水水源环境保护，定期调查评估集中式地下水饮用水水源地环境状况，依法清理饮用水水源保护区内违法建筑和排污口。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禁止通过暗管、渗井、渗坑、灌注等方式，违法排放污染物。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农业等部门应当制定农业面源污染综合防治方案，推广使用低毒、低残留农药，开展农业面源污染监测，建立健全综合防治运行机制，防止农业面源污染地下水。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商务等部门应当监督企业完成石化生产存贮销售企业和工业园区、矿藏开采区以及垃圾填埋场等区域防渗处理，完成加油站点地下油罐双层罐更新或者防渗池设置，完成报废矿井、钻井、取水井封井回填。</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市、县（市、区）人民政府应当加强地表水水源工程建设，完善地表水置换地下水的输配水工程设施。公共供水能够满足用水需求且供水管网配套的区域，市、县（市、区）人民政府应当组织水行政、住房城乡建设、经济和信息化等部门限期封闭自备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地表水源工程建成供水后，除保留部分地下水井作为应急备用和特殊需要用水外，供水区内其他自备井应当封闭。具体办法由市人民政府制定。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市、县（市、区）人民政府应当根据地下水保护需要，有计划地涵养地下水水源，并采取多种措施积极推进再生水、雨水利用设施建设，对再生水的推广利用进行财政补贴，提高再生水、雨水利用率。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住房城乡建设部门在编制给水、排水专项规划时，应当同步安排再生水、雨水利用设施建设。城市新区建设、旧城区改建和市政基础设施建设，应当铺设再生水利用管网，建设渗水路面和雨水收集、利用设施。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在再生水输配管网覆盖区域内，工业生产应当使用符合用水水质要求的再生水；园林绿化、环境卫生和住宅小区、单位内部景观绿化以及施工、洗车等应当使用再生水。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市、县（市、区）水行政主管部门应当加强取水井管理，建立取水井登记、建档和监督管理制度。</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依法需要封闭并且年久失修、成井条件差或者受污染的取水井，取水井产权人应当按照有关技术要求实施填埋；对依法需要封闭但成井条件好、水质水量有保证的取水井应当封存备用，并建立封存备用井启用制度，确保在应急等情况下，按照规定程序启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取用地下水的单位和个人应当依法缴纳水资源费，取用城市地下水的还应当同时缴纳城市污水处理费。水资源费和城市污水处理费的征收按照有关规定执行。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开采矿藏或者建设地下工程项目取排地下水的单位和个人，应当采取预防和保护措施，减少矿坑排水，并优先利用；未能全部利用的，应当在处理达标后排放，防止造成地下水含水层串通或者地下水污染。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市、县（市、区）水行政主管部门应当组织建设地下水资源管理信息平台，完善地下水监测站网，实现水位、水量、水质等监测信息的采集、传输、处理、储存、应用和公开。</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用地下水的单位和个人应当按照有关标准安装取用水计量设施，并保证其正常运行。纳入地下水在线监测的取水单位和个人应当按照有关要求、标准，安装水量或者水质自动监测设备，与水行政主管部门的监测设备联网，保证监测设备的正常运行，保存原始监测记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任何单位和个人不得侵占、损坏地下水监测设备、取用水计量设施及其标志。</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市、县（市、区）人民政府应当建立完善联合执法工作机制，组织水行政、住房城乡建设、环境保护、城管执法等部门开展联合执法。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市人民政府应当对地下水管理目标完成情况进行考核，并将考核结果作为对各县（市、区）人民政府综合考核评价的依据。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考核结果不合格的县（市、区）人民政府应当限期整改。整改期间，暂停该地区建设项目新增取水。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市、县（市、区）水行政主管部门、有关部门及其工作人员有下列情形之一的，对直接负责的主管人员和其他直接责任人员依法给予处分：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（一）不执行地下水保护和利用规划的；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（二）不依法核发许可证，签署审查意见的；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（三）对符合法定条件的申请故意刁难、拖延，未在规定的期限内核发许可证、签署审查意见的；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（四）对法定的水资源费、城市污水处理费擅自减免或者违反规定收缴的；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（五）贪污、截留、挪用水资源费或者城市污水处理费的；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（六）拒不执行取用水总量控制方案的；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（七）对有关投诉、举报的违法行为不予调查处理的；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（八）其他滥用职权、玩忽职守、徇私舞弊的情形。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违反本条例第十一条第二款规定，在地下水限制开采区擅自取用地下水的，由县级以上水行政主管部门责令停止违法行为，限期采取补救措施，责令其补缴应当缴纳的水资源费，处以二万元以上六万元以下的罚款；情节严重的，吊销其取水许可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一条第三款规定，在地下水禁止开采区开凿新的取水井的，由县级以上水行政主管部门责令停止违法行为，限期采取补救措施，责令其补缴应当缴纳的水资源费，处以三万元以上十万元以下的罚款；情节严重的，吊销其取水许可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违反本条例第十五条规定，未经许可取用地热水的，由县级以上水行政主管部门责令停止违法行为，限期采取补救措施，责令其补缴应当缴纳的水资源费，处以二万元以上十万元以下的罚款。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违反本条例第十六条规定，有下列行为之一的，由县级以上水行政主管部门责令限期关闭地下水源热泵系统取水井和回灌井，处以五万元以上十万元以下的罚款：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（一）将深层地下水作为地源热泵水源的；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（二）在地下水饮用水水源保护区、地下水禁止开采区利用地下水源热泵系统取用地下水的；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（三）取水没有全部回灌到同一含水层或者对地下水造成污染的。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违反本条例第十九条规定，建设项目的节水设施没有建成或者未经验收、验收不合格，擅自投产使用的，由县级以上人民政府有关部门责令停止使用，限期改正，处以五万元以上十万元以下的罚款。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违反本条例第二十一条第一款规定，通过暗管、渗井、渗坑、灌注等方式，违法排放污染物的，依照《中华人民共和国环境保护法》第六十三条规定给予处罚。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违反本条例第二十四条规定，在再生水输配管线覆盖区域内，工业生产用水未使用符合用水水质要求的再生水，或者园林绿化、环境卫生和住宅小区、单位内部景观绿化以及施工、洗车等未使用再生水的，由县级以上人民政府有关部门责令限期改正，处以一万元以上五万元以下的罚款；拒不改正的，责令停止取水或者吊销取水许可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违反本条例第二十八条第二款规定，未安装计量设施的，责令限期安装，并按照日最大取水能力计算的取水量和水资源费征收标准计征水资源费，处以五千元以上二万元以下的罚款；情节严重的，吊销取水许可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量设施不合格或者运行不正常的，责令限期更换或者修复；逾期不更换或者不修复的，按照日最大取水能力计算的取水量和水资源费征收标准计征水资源费，处以一千元以上一万元以下的罚款；情节严重的，吊销取水许可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本条例所称地下水，是指埋藏在地表以下的水体（含地热水、矿泉水）。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本条例所称浅层地下水，是指埋藏深度在五十米以内的地下水，中深层地下水是指埋藏深度在五十米至一百五十米之间的地下水，深层地下水是指埋藏深度大于一百五十米的地下水。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城市规划区外深层地下水的保护、开发、节约、利用和管理，参照本条例执行。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本条例自2016年10月1日起施行。</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AA82A32"/>
    <w:rsid w:val="3C282948"/>
    <w:rsid w:val="3C3E71B4"/>
    <w:rsid w:val="3F38699A"/>
    <w:rsid w:val="3FF33AAA"/>
    <w:rsid w:val="407A2CDD"/>
    <w:rsid w:val="40CB1336"/>
    <w:rsid w:val="41456DAB"/>
    <w:rsid w:val="422A6439"/>
    <w:rsid w:val="425534DD"/>
    <w:rsid w:val="438A2EFC"/>
    <w:rsid w:val="49F900AC"/>
    <w:rsid w:val="4B9163E8"/>
    <w:rsid w:val="4F1C1CFA"/>
    <w:rsid w:val="51CF2E7D"/>
    <w:rsid w:val="5B883FCC"/>
    <w:rsid w:val="63E17A79"/>
    <w:rsid w:val="67B87810"/>
    <w:rsid w:val="69922251"/>
    <w:rsid w:val="6AEE49E1"/>
    <w:rsid w:val="7049093B"/>
    <w:rsid w:val="7146380C"/>
    <w:rsid w:val="75EC02E0"/>
    <w:rsid w:val="77301489"/>
    <w:rsid w:val="79154CC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2017-10-28T02:48:12Z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