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32"/>
          <w:szCs w:val="32"/>
        </w:rPr>
      </w:pPr>
    </w:p>
    <w:p>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1"/>
        <w:rPr>
          <w:rFonts w:hint="eastAsia"/>
        </w:rPr>
      </w:pPr>
      <w:r>
        <w:rPr>
          <w:rFonts w:hint="eastAsia"/>
        </w:rPr>
        <w:t>本溪市中小企业促进条例</w:t>
      </w:r>
    </w:p>
    <w:p>
      <w:pPr>
        <w:pStyle w:val="12"/>
        <w:rPr>
          <w:rFonts w:hint="eastAsia"/>
        </w:rPr>
      </w:pPr>
    </w:p>
    <w:p>
      <w:pPr>
        <w:pStyle w:val="12"/>
        <w:rPr>
          <w:rFonts w:hint="eastAsia"/>
        </w:rPr>
      </w:pPr>
      <w:bookmarkStart w:id="8" w:name="_GoBack"/>
      <w:bookmarkEnd w:id="8"/>
      <w:r>
        <w:rPr>
          <w:rFonts w:hint="eastAsia"/>
        </w:rPr>
        <w:t>（2012年10月12日本溪市第十四届人民代表大会常务委员会第三十五次会议通过  2012年11月29日辽宁省第十一届人民代表大会常务委员会第三十三次会议批准）</w:t>
      </w:r>
    </w:p>
    <w:p>
      <w:pPr>
        <w:pStyle w:val="8"/>
        <w:pageBreakBefore w:val="0"/>
        <w:widowControl w:val="0"/>
        <w:tabs>
          <w:tab w:val="right" w:pos="8844"/>
        </w:tabs>
        <w:kinsoku/>
        <w:wordWrap/>
        <w:overflowPunct/>
        <w:topLinePunct w:val="0"/>
        <w:autoSpaceDE/>
        <w:autoSpaceDN/>
        <w:bidi w:val="0"/>
        <w:adjustRightInd/>
        <w:snapToGrid/>
        <w:ind w:left="0" w:leftChars="0" w:right="0" w:rightChars="0" w:firstLine="640" w:firstLineChars="200"/>
        <w:textAlignment w:val="auto"/>
        <w:rPr>
          <w:rFonts w:hint="eastAsia" w:ascii="仿宋" w:hAnsi="仿宋" w:eastAsia="仿宋" w:cs="仿宋"/>
          <w:sz w:val="32"/>
          <w:szCs w:val="32"/>
        </w:rPr>
      </w:pPr>
    </w:p>
    <w:p>
      <w:pPr>
        <w:pStyle w:val="8"/>
        <w:pageBreakBefore w:val="0"/>
        <w:widowControl w:val="0"/>
        <w:tabs>
          <w:tab w:val="right" w:pos="8844"/>
        </w:tabs>
        <w:kinsoku/>
        <w:wordWrap/>
        <w:overflowPunct/>
        <w:topLinePunct w:val="0"/>
        <w:autoSpaceDE/>
        <w:autoSpaceDN/>
        <w:bidi w:val="0"/>
        <w:adjustRightInd/>
        <w:snapToGrid/>
        <w:ind w:right="0" w:rightChars="0"/>
        <w:jc w:val="center"/>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目</w:t>
      </w:r>
      <w:r>
        <w:rPr>
          <w:rFonts w:hint="eastAsia" w:ascii="楷体" w:hAnsi="楷体" w:eastAsia="楷体" w:cs="楷体"/>
          <w:sz w:val="32"/>
          <w:szCs w:val="32"/>
          <w:lang w:val="en-US" w:eastAsia="zh-CN"/>
        </w:rPr>
        <w:t xml:space="preserve">    </w:t>
      </w:r>
      <w:r>
        <w:rPr>
          <w:rFonts w:hint="eastAsia" w:ascii="楷体" w:hAnsi="楷体" w:eastAsia="楷体" w:cs="楷体"/>
          <w:sz w:val="32"/>
          <w:szCs w:val="32"/>
          <w:lang w:eastAsia="zh-CN"/>
        </w:rPr>
        <w:t>录</w:t>
      </w:r>
    </w:p>
    <w:p>
      <w:pPr>
        <w:pStyle w:val="8"/>
        <w:pageBreakBefore w:val="0"/>
        <w:widowControl w:val="0"/>
        <w:tabs>
          <w:tab w:val="right" w:pos="8844"/>
        </w:tabs>
        <w:kinsoku/>
        <w:wordWrap/>
        <w:overflowPunct/>
        <w:topLinePunct w:val="0"/>
        <w:autoSpaceDE/>
        <w:autoSpaceDN/>
        <w:bidi w:val="0"/>
        <w:adjustRightInd/>
        <w:snapToGrid/>
        <w:ind w:left="0" w:leftChars="0" w:right="0" w:rightChars="0" w:firstLine="640" w:firstLineChars="200"/>
        <w:textAlignment w:val="auto"/>
        <w:rPr>
          <w:rFonts w:hint="eastAsia" w:ascii="仿宋" w:hAnsi="仿宋" w:eastAsia="仿宋" w:cs="仿宋"/>
          <w:sz w:val="32"/>
          <w:szCs w:val="32"/>
        </w:rPr>
      </w:pPr>
    </w:p>
    <w:p>
      <w:pPr>
        <w:pStyle w:val="8"/>
        <w:pageBreakBefore w:val="0"/>
        <w:widowControl w:val="0"/>
        <w:tabs>
          <w:tab w:val="right" w:pos="8844"/>
        </w:tabs>
        <w:kinsoku/>
        <w:wordWrap/>
        <w:overflowPunct/>
        <w:topLinePunct w:val="0"/>
        <w:autoSpaceDE/>
        <w:autoSpaceDN/>
        <w:bidi w:val="0"/>
        <w:adjustRightInd/>
        <w:snapToGrid/>
        <w:ind w:left="0" w:leftChars="0" w:right="0" w:rightChars="0" w:firstLine="640" w:firstLineChars="200"/>
        <w:textAlignment w:val="auto"/>
        <w:rPr>
          <w:rFonts w:hint="eastAsia" w:ascii="楷体" w:hAnsi="楷体" w:eastAsia="楷体" w:cs="楷体"/>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TOC \o "1-1" \n  \h \u </w:instrText>
      </w:r>
      <w:r>
        <w:rPr>
          <w:rFonts w:hint="eastAsia" w:ascii="仿宋" w:hAnsi="仿宋" w:eastAsia="仿宋" w:cs="仿宋"/>
          <w:sz w:val="32"/>
          <w:szCs w:val="32"/>
        </w:rPr>
        <w:fldChar w:fldCharType="separate"/>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_Toc20197 </w:instrText>
      </w:r>
      <w:r>
        <w:rPr>
          <w:rFonts w:hint="eastAsia" w:ascii="楷体" w:hAnsi="楷体" w:eastAsia="楷体" w:cs="楷体"/>
          <w:sz w:val="32"/>
          <w:szCs w:val="32"/>
        </w:rPr>
        <w:fldChar w:fldCharType="separate"/>
      </w:r>
      <w:r>
        <w:rPr>
          <w:rFonts w:hint="eastAsia" w:ascii="楷体" w:hAnsi="楷体" w:eastAsia="楷体" w:cs="楷体"/>
          <w:sz w:val="32"/>
          <w:szCs w:val="32"/>
        </w:rPr>
        <w:t>第一章  总    则</w:t>
      </w:r>
      <w:r>
        <w:rPr>
          <w:rFonts w:hint="eastAsia" w:ascii="楷体" w:hAnsi="楷体" w:eastAsia="楷体" w:cs="楷体"/>
          <w:sz w:val="32"/>
          <w:szCs w:val="32"/>
        </w:rPr>
        <w:fldChar w:fldCharType="end"/>
      </w:r>
    </w:p>
    <w:p>
      <w:pPr>
        <w:pStyle w:val="8"/>
        <w:pageBreakBefore w:val="0"/>
        <w:widowControl w:val="0"/>
        <w:tabs>
          <w:tab w:val="right" w:pos="8844"/>
        </w:tabs>
        <w:kinsoku/>
        <w:wordWrap/>
        <w:overflowPunct/>
        <w:topLinePunct w:val="0"/>
        <w:autoSpaceDE/>
        <w:autoSpaceDN/>
        <w:bidi w:val="0"/>
        <w:adjustRightInd/>
        <w:snapToGrid/>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_Toc20447 </w:instrText>
      </w:r>
      <w:r>
        <w:rPr>
          <w:rFonts w:hint="eastAsia" w:ascii="楷体" w:hAnsi="楷体" w:eastAsia="楷体" w:cs="楷体"/>
          <w:sz w:val="32"/>
          <w:szCs w:val="32"/>
        </w:rPr>
        <w:fldChar w:fldCharType="separate"/>
      </w:r>
      <w:r>
        <w:rPr>
          <w:rFonts w:hint="eastAsia" w:ascii="楷体" w:hAnsi="楷体" w:eastAsia="楷体" w:cs="楷体"/>
          <w:sz w:val="32"/>
          <w:szCs w:val="32"/>
        </w:rPr>
        <w:t>第二章  资金支持</w:t>
      </w:r>
      <w:r>
        <w:rPr>
          <w:rFonts w:hint="eastAsia" w:ascii="楷体" w:hAnsi="楷体" w:eastAsia="楷体" w:cs="楷体"/>
          <w:sz w:val="32"/>
          <w:szCs w:val="32"/>
        </w:rPr>
        <w:fldChar w:fldCharType="end"/>
      </w:r>
    </w:p>
    <w:p>
      <w:pPr>
        <w:pStyle w:val="8"/>
        <w:pageBreakBefore w:val="0"/>
        <w:widowControl w:val="0"/>
        <w:tabs>
          <w:tab w:val="right" w:pos="8844"/>
        </w:tabs>
        <w:kinsoku/>
        <w:wordWrap/>
        <w:overflowPunct/>
        <w:topLinePunct w:val="0"/>
        <w:autoSpaceDE/>
        <w:autoSpaceDN/>
        <w:bidi w:val="0"/>
        <w:adjustRightInd/>
        <w:snapToGrid/>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_Toc31348 </w:instrText>
      </w:r>
      <w:r>
        <w:rPr>
          <w:rFonts w:hint="eastAsia" w:ascii="楷体" w:hAnsi="楷体" w:eastAsia="楷体" w:cs="楷体"/>
          <w:sz w:val="32"/>
          <w:szCs w:val="32"/>
        </w:rPr>
        <w:fldChar w:fldCharType="separate"/>
      </w:r>
      <w:r>
        <w:rPr>
          <w:rFonts w:hint="eastAsia" w:ascii="楷体" w:hAnsi="楷体" w:eastAsia="楷体" w:cs="楷体"/>
          <w:sz w:val="32"/>
          <w:szCs w:val="32"/>
        </w:rPr>
        <w:t>第三章  创业扶持</w:t>
      </w:r>
      <w:r>
        <w:rPr>
          <w:rFonts w:hint="eastAsia" w:ascii="楷体" w:hAnsi="楷体" w:eastAsia="楷体" w:cs="楷体"/>
          <w:sz w:val="32"/>
          <w:szCs w:val="32"/>
        </w:rPr>
        <w:fldChar w:fldCharType="end"/>
      </w:r>
    </w:p>
    <w:p>
      <w:pPr>
        <w:pStyle w:val="8"/>
        <w:pageBreakBefore w:val="0"/>
        <w:widowControl w:val="0"/>
        <w:tabs>
          <w:tab w:val="right" w:pos="8844"/>
        </w:tabs>
        <w:kinsoku/>
        <w:wordWrap/>
        <w:overflowPunct/>
        <w:topLinePunct w:val="0"/>
        <w:autoSpaceDE/>
        <w:autoSpaceDN/>
        <w:bidi w:val="0"/>
        <w:adjustRightInd/>
        <w:snapToGrid/>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_Toc6555 </w:instrText>
      </w:r>
      <w:r>
        <w:rPr>
          <w:rFonts w:hint="eastAsia" w:ascii="楷体" w:hAnsi="楷体" w:eastAsia="楷体" w:cs="楷体"/>
          <w:sz w:val="32"/>
          <w:szCs w:val="32"/>
        </w:rPr>
        <w:fldChar w:fldCharType="separate"/>
      </w:r>
      <w:r>
        <w:rPr>
          <w:rFonts w:hint="eastAsia" w:ascii="楷体" w:hAnsi="楷体" w:eastAsia="楷体" w:cs="楷体"/>
          <w:sz w:val="32"/>
          <w:szCs w:val="32"/>
        </w:rPr>
        <w:t>第四章  技术创新</w:t>
      </w:r>
      <w:r>
        <w:rPr>
          <w:rFonts w:hint="eastAsia" w:ascii="楷体" w:hAnsi="楷体" w:eastAsia="楷体" w:cs="楷体"/>
          <w:sz w:val="32"/>
          <w:szCs w:val="32"/>
        </w:rPr>
        <w:fldChar w:fldCharType="end"/>
      </w:r>
    </w:p>
    <w:p>
      <w:pPr>
        <w:pStyle w:val="8"/>
        <w:pageBreakBefore w:val="0"/>
        <w:widowControl w:val="0"/>
        <w:tabs>
          <w:tab w:val="right" w:pos="8844"/>
        </w:tabs>
        <w:kinsoku/>
        <w:wordWrap/>
        <w:overflowPunct/>
        <w:topLinePunct w:val="0"/>
        <w:autoSpaceDE/>
        <w:autoSpaceDN/>
        <w:bidi w:val="0"/>
        <w:adjustRightInd/>
        <w:snapToGrid/>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_Toc10531 </w:instrText>
      </w:r>
      <w:r>
        <w:rPr>
          <w:rFonts w:hint="eastAsia" w:ascii="楷体" w:hAnsi="楷体" w:eastAsia="楷体" w:cs="楷体"/>
          <w:sz w:val="32"/>
          <w:szCs w:val="32"/>
        </w:rPr>
        <w:fldChar w:fldCharType="separate"/>
      </w:r>
      <w:r>
        <w:rPr>
          <w:rFonts w:hint="eastAsia" w:ascii="楷体" w:hAnsi="楷体" w:eastAsia="楷体" w:cs="楷体"/>
          <w:sz w:val="32"/>
          <w:szCs w:val="32"/>
        </w:rPr>
        <w:t>第五章  市场开拓</w:t>
      </w:r>
      <w:r>
        <w:rPr>
          <w:rFonts w:hint="eastAsia" w:ascii="楷体" w:hAnsi="楷体" w:eastAsia="楷体" w:cs="楷体"/>
          <w:sz w:val="32"/>
          <w:szCs w:val="32"/>
        </w:rPr>
        <w:fldChar w:fldCharType="end"/>
      </w:r>
    </w:p>
    <w:p>
      <w:pPr>
        <w:pStyle w:val="8"/>
        <w:pageBreakBefore w:val="0"/>
        <w:widowControl w:val="0"/>
        <w:tabs>
          <w:tab w:val="right" w:pos="8844"/>
        </w:tabs>
        <w:kinsoku/>
        <w:wordWrap/>
        <w:overflowPunct/>
        <w:topLinePunct w:val="0"/>
        <w:autoSpaceDE/>
        <w:autoSpaceDN/>
        <w:bidi w:val="0"/>
        <w:adjustRightInd/>
        <w:snapToGrid/>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_Toc5767 </w:instrText>
      </w:r>
      <w:r>
        <w:rPr>
          <w:rFonts w:hint="eastAsia" w:ascii="楷体" w:hAnsi="楷体" w:eastAsia="楷体" w:cs="楷体"/>
          <w:sz w:val="32"/>
          <w:szCs w:val="32"/>
        </w:rPr>
        <w:fldChar w:fldCharType="separate"/>
      </w:r>
      <w:r>
        <w:rPr>
          <w:rFonts w:hint="eastAsia" w:ascii="楷体" w:hAnsi="楷体" w:eastAsia="楷体" w:cs="楷体"/>
          <w:sz w:val="32"/>
          <w:szCs w:val="32"/>
        </w:rPr>
        <w:t>第六章  公共服务</w:t>
      </w:r>
      <w:r>
        <w:rPr>
          <w:rFonts w:hint="eastAsia" w:ascii="楷体" w:hAnsi="楷体" w:eastAsia="楷体" w:cs="楷体"/>
          <w:sz w:val="32"/>
          <w:szCs w:val="32"/>
        </w:rPr>
        <w:fldChar w:fldCharType="end"/>
      </w:r>
    </w:p>
    <w:p>
      <w:pPr>
        <w:pStyle w:val="8"/>
        <w:pageBreakBefore w:val="0"/>
        <w:widowControl w:val="0"/>
        <w:tabs>
          <w:tab w:val="right" w:pos="8844"/>
        </w:tabs>
        <w:kinsoku/>
        <w:wordWrap/>
        <w:overflowPunct/>
        <w:topLinePunct w:val="0"/>
        <w:autoSpaceDE/>
        <w:autoSpaceDN/>
        <w:bidi w:val="0"/>
        <w:adjustRightInd/>
        <w:snapToGrid/>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_Toc4501 </w:instrText>
      </w:r>
      <w:r>
        <w:rPr>
          <w:rFonts w:hint="eastAsia" w:ascii="楷体" w:hAnsi="楷体" w:eastAsia="楷体" w:cs="楷体"/>
          <w:sz w:val="32"/>
          <w:szCs w:val="32"/>
        </w:rPr>
        <w:fldChar w:fldCharType="separate"/>
      </w:r>
      <w:r>
        <w:rPr>
          <w:rFonts w:hint="eastAsia" w:ascii="楷体" w:hAnsi="楷体" w:eastAsia="楷体" w:cs="楷体"/>
          <w:sz w:val="32"/>
          <w:szCs w:val="32"/>
        </w:rPr>
        <w:t>第七章  权益保护</w:t>
      </w:r>
      <w:r>
        <w:rPr>
          <w:rFonts w:hint="eastAsia" w:ascii="楷体" w:hAnsi="楷体" w:eastAsia="楷体" w:cs="楷体"/>
          <w:sz w:val="32"/>
          <w:szCs w:val="32"/>
        </w:rPr>
        <w:fldChar w:fldCharType="end"/>
      </w:r>
    </w:p>
    <w:p>
      <w:pPr>
        <w:pStyle w:val="8"/>
        <w:pageBreakBefore w:val="0"/>
        <w:widowControl w:val="0"/>
        <w:tabs>
          <w:tab w:val="right" w:pos="8844"/>
        </w:tabs>
        <w:kinsoku/>
        <w:wordWrap/>
        <w:overflowPunct/>
        <w:topLinePunct w:val="0"/>
        <w:autoSpaceDE/>
        <w:autoSpaceDN/>
        <w:bidi w:val="0"/>
        <w:adjustRightInd/>
        <w:snapToGrid/>
        <w:ind w:left="0" w:leftChars="0" w:right="0" w:rightChars="0"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_Toc20775 </w:instrText>
      </w:r>
      <w:r>
        <w:rPr>
          <w:rFonts w:hint="eastAsia" w:ascii="楷体" w:hAnsi="楷体" w:eastAsia="楷体" w:cs="楷体"/>
          <w:sz w:val="32"/>
          <w:szCs w:val="32"/>
        </w:rPr>
        <w:fldChar w:fldCharType="separate"/>
      </w:r>
      <w:r>
        <w:rPr>
          <w:rFonts w:hint="eastAsia" w:ascii="楷体" w:hAnsi="楷体" w:eastAsia="楷体" w:cs="楷体"/>
          <w:sz w:val="32"/>
          <w:szCs w:val="32"/>
        </w:rPr>
        <w:t>第八章  附    则</w:t>
      </w:r>
      <w:r>
        <w:rPr>
          <w:rFonts w:hint="eastAsia" w:ascii="楷体" w:hAnsi="楷体" w:eastAsia="楷体" w:cs="楷体"/>
          <w:sz w:val="32"/>
          <w:szCs w:val="32"/>
        </w:rPr>
        <w:fldChar w:fldCharType="end"/>
      </w:r>
    </w:p>
    <w:p>
      <w:pPr>
        <w:pStyle w:val="2"/>
        <w:pageBreakBefore w:val="0"/>
        <w:widowControl w:val="0"/>
        <w:kinsoku/>
        <w:wordWrap/>
        <w:overflowPunct/>
        <w:topLinePunct w:val="0"/>
        <w:autoSpaceDE/>
        <w:autoSpaceDN/>
        <w:bidi w:val="0"/>
        <w:adjustRightInd/>
        <w:snapToGrid/>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end"/>
      </w:r>
      <w:bookmarkStart w:id="0" w:name="_Toc20197"/>
    </w:p>
    <w:p>
      <w:pPr>
        <w:pStyle w:val="2"/>
        <w:pageBreakBefore w:val="0"/>
        <w:widowControl w:val="0"/>
        <w:kinsoku/>
        <w:wordWrap/>
        <w:overflowPunct/>
        <w:topLinePunct w:val="0"/>
        <w:autoSpaceDE/>
        <w:autoSpaceDN/>
        <w:bidi w:val="0"/>
        <w:adjustRightInd/>
        <w:snapToGrid/>
        <w:ind w:left="0" w:leftChars="0" w:right="0" w:rightChars="0" w:firstLine="640" w:firstLineChars="200"/>
        <w:textAlignment w:val="auto"/>
        <w:rPr>
          <w:rFonts w:hint="eastAsia"/>
        </w:rPr>
      </w:pPr>
      <w:r>
        <w:rPr>
          <w:rFonts w:hint="eastAsia"/>
        </w:rPr>
        <w:t>第一章  总    则</w:t>
      </w:r>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第一条</w:t>
      </w:r>
      <w:r>
        <w:rPr>
          <w:rFonts w:hint="eastAsia" w:ascii="仿宋" w:hAnsi="仿宋" w:eastAsia="仿宋" w:cs="仿宋"/>
          <w:sz w:val="32"/>
          <w:szCs w:val="32"/>
        </w:rPr>
        <w:t xml:space="preserve">  为了改善中小企业经营环境，促进中小企业快速健康发展，根据《中华人民共和国中小企业促进法》《辽宁省促进中小企业发展条例》等法律、法规，结合本市实际，制定本条例。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第二条</w:t>
      </w:r>
      <w:r>
        <w:rPr>
          <w:rFonts w:hint="eastAsia" w:ascii="仿宋" w:hAnsi="仿宋" w:eastAsia="仿宋" w:cs="仿宋"/>
          <w:sz w:val="32"/>
          <w:szCs w:val="32"/>
        </w:rPr>
        <w:t xml:space="preserve">  本市行政区域内促进中小企业发展工作适用本条例。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本条例所称中小企业，是指依据国家产业政策在本市行政区域内依法设立的，生产经营规模符合国家中小企业划分标准的各种所有制和各种形式的中小型企业以及微型企业。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第三条</w:t>
      </w:r>
      <w:r>
        <w:rPr>
          <w:rFonts w:hint="eastAsia" w:ascii="仿宋" w:hAnsi="仿宋" w:eastAsia="仿宋" w:cs="仿宋"/>
          <w:sz w:val="32"/>
          <w:szCs w:val="32"/>
        </w:rPr>
        <w:t xml:space="preserve">  市、自治县（区）人民政府应当根据法律、法规和国家有关方针政策，将中小企业发展纳入本地区国民经济和社会发展规划，为中小企业的创业和发展创造条件、提供保障。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乡（镇）人民政府应当做好促进中小企业发展的指导和服务工作。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第四条</w:t>
      </w:r>
      <w:r>
        <w:rPr>
          <w:rFonts w:hint="eastAsia" w:ascii="仿宋" w:hAnsi="仿宋" w:eastAsia="仿宋" w:cs="仿宋"/>
          <w:sz w:val="32"/>
          <w:szCs w:val="32"/>
        </w:rPr>
        <w:t xml:space="preserve">  市、自治县（区）人民政府为主管中小企业工作的部门，负责本区域内中小企业促进工作，依法履行下列职责：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（一）组织实施国家、省和本地区制定的中小企业政策和规划；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（二）促进本地区中小企业发展综合协调工作；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（三）组织有关部门制定中小企业发展产业指导目录；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（四）组织有关部门对中小企业的认定工作；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（五）中小企业发展专项资金的使用管理；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（六）市、自治县（区）人民政府赋予的其他职责。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发展改革、科技、财政、工商、国土资源、规划建设、环境保护、人力资源和社会保障等相关部门，在各自职责范围内做好中小企业的发展促进工作。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第五条 </w:t>
      </w:r>
      <w:r>
        <w:rPr>
          <w:rFonts w:hint="eastAsia" w:ascii="仿宋" w:hAnsi="仿宋" w:eastAsia="仿宋" w:cs="仿宋"/>
          <w:sz w:val="32"/>
          <w:szCs w:val="32"/>
        </w:rPr>
        <w:t xml:space="preserve"> 中小企业享有法律、法规规定的各项权利，任何单位和个人不得侵犯中小企业的合法权益。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中小企业应当严格履行法定义务，合法经营、依法纳税、诚实守信、公平竞争，不得损害国家利益和社会公共利益，不得侵害职工合法权益。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第六条 </w:t>
      </w:r>
      <w:r>
        <w:rPr>
          <w:rFonts w:hint="eastAsia" w:ascii="仿宋" w:hAnsi="仿宋" w:eastAsia="仿宋" w:cs="仿宋"/>
          <w:sz w:val="32"/>
          <w:szCs w:val="32"/>
        </w:rPr>
        <w:t xml:space="preserve"> 市、自治县（区）人民政府应当对促进中小企业发展作出突出贡献的单位和个人予以表彰和奖励。</w:t>
      </w:r>
    </w:p>
    <w:p>
      <w:pPr>
        <w:pStyle w:val="2"/>
        <w:rPr>
          <w:rFonts w:hint="eastAsia"/>
        </w:rPr>
      </w:pPr>
      <w:bookmarkStart w:id="1" w:name="_Toc20447"/>
    </w:p>
    <w:p>
      <w:pPr>
        <w:pStyle w:val="2"/>
        <w:rPr>
          <w:rFonts w:hint="eastAsia"/>
        </w:rPr>
      </w:pPr>
      <w:r>
        <w:rPr>
          <w:rFonts w:hint="eastAsia"/>
        </w:rPr>
        <w:t>第二章  资金支持</w:t>
      </w:r>
      <w:bookmarkEnd w:id="1"/>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第七条</w:t>
      </w:r>
      <w:r>
        <w:rPr>
          <w:rFonts w:hint="eastAsia" w:ascii="仿宋" w:hAnsi="仿宋" w:eastAsia="仿宋" w:cs="仿宋"/>
          <w:sz w:val="32"/>
          <w:szCs w:val="32"/>
        </w:rPr>
        <w:t xml:space="preserve">  市、自治县（区）人民政府应当在本级财政预算中安排中小企业发展专项资金，并视本级财力的增长而逐步增加。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乡（镇）人民政府可根据实际情况安排扶持中小企业发展专项资金或者以其他方式为中小企业发展提供支持。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第八条</w:t>
      </w:r>
      <w:r>
        <w:rPr>
          <w:rFonts w:hint="eastAsia" w:ascii="仿宋" w:hAnsi="仿宋" w:eastAsia="仿宋" w:cs="仿宋"/>
          <w:sz w:val="32"/>
          <w:szCs w:val="32"/>
        </w:rPr>
        <w:t xml:space="preserve">  中小企业发展专项资金用于支持下列事项：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（一）支持企业技术改造；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（二）技术创新以及专精特新产品开发；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（三）节能降耗和清洁生产项目；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（四）资源节约和综合利用项目；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（五）为中小企业提供贷款担保的信用担保机构给予风险补偿；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（六）为中小企业服务机构开展人员培训、信息咨询、创业辅导以及服务；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（七）其他促进中小企业发展的事项。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财政和审计部门应当对专项资金的管理和使用情况进行定期检查和审计。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第九条</w:t>
      </w:r>
      <w:r>
        <w:rPr>
          <w:rFonts w:hint="eastAsia" w:ascii="仿宋" w:hAnsi="仿宋" w:eastAsia="仿宋" w:cs="仿宋"/>
          <w:sz w:val="32"/>
          <w:szCs w:val="32"/>
        </w:rPr>
        <w:t xml:space="preserve">  鼓励金融机构根据国家产业政策和信贷政策，为中小企业提供优质高效的信贷服务。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鼓励金融机构加强与信用担保机构合作，对符合条件的信用担保机构增加授信额度，发挥担保机构为中小企业融资服务的作用。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第十条</w:t>
      </w:r>
      <w:r>
        <w:rPr>
          <w:rFonts w:hint="eastAsia" w:ascii="仿宋" w:hAnsi="仿宋" w:eastAsia="仿宋" w:cs="仿宋"/>
          <w:sz w:val="32"/>
          <w:szCs w:val="32"/>
        </w:rPr>
        <w:t xml:space="preserve">  鼓励和引导小额贷款公司、融资担保公司和村镇银行等新型金融机构，为中小企业创业发展、技术改造、科技成果转化等提供金融支持。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第十一条</w:t>
      </w:r>
      <w:r>
        <w:rPr>
          <w:rFonts w:hint="eastAsia" w:ascii="仿宋" w:hAnsi="仿宋" w:eastAsia="仿宋" w:cs="仿宋"/>
          <w:sz w:val="32"/>
          <w:szCs w:val="32"/>
        </w:rPr>
        <w:t xml:space="preserve">  鼓励和支持中小企业进入资本市场。引导有条件的中小企业通过股权、债券、租赁以及境内外上市等融资途径，依法开展直接融资活动。</w:t>
      </w:r>
    </w:p>
    <w:p>
      <w:pPr>
        <w:pStyle w:val="2"/>
        <w:rPr>
          <w:rFonts w:hint="eastAsia"/>
        </w:rPr>
      </w:pPr>
      <w:bookmarkStart w:id="2" w:name="_Toc31348"/>
    </w:p>
    <w:p>
      <w:pPr>
        <w:pStyle w:val="2"/>
        <w:rPr>
          <w:rFonts w:hint="eastAsia"/>
        </w:rPr>
      </w:pPr>
      <w:r>
        <w:rPr>
          <w:rFonts w:hint="eastAsia"/>
        </w:rPr>
        <w:t>第三章  创业扶持</w:t>
      </w:r>
      <w:bookmarkEnd w:id="2"/>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第十二条</w:t>
      </w:r>
      <w:r>
        <w:rPr>
          <w:rFonts w:hint="eastAsia" w:ascii="仿宋" w:hAnsi="仿宋" w:eastAsia="仿宋" w:cs="仿宋"/>
          <w:sz w:val="32"/>
          <w:szCs w:val="32"/>
        </w:rPr>
        <w:t xml:space="preserve">  引导和支持创办科技型、创业型和劳动密集型中小企业。重点扶持有利于优化我市产业结构，有特色、具有成长性的中小企业。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第十三条</w:t>
      </w:r>
      <w:r>
        <w:rPr>
          <w:rFonts w:hint="eastAsia" w:ascii="仿宋" w:hAnsi="仿宋" w:eastAsia="仿宋" w:cs="仿宋"/>
          <w:sz w:val="32"/>
          <w:szCs w:val="32"/>
        </w:rPr>
        <w:t xml:space="preserve">  完善鼓励创业的政策扶持体系，改善创业环境，降低创业成本，为中小企业以及创业人员提供融资、劳动用工、社会保障等方面的政策支持和服务。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第十四条</w:t>
      </w:r>
      <w:r>
        <w:rPr>
          <w:rFonts w:hint="eastAsia" w:ascii="仿宋" w:hAnsi="仿宋" w:eastAsia="仿宋" w:cs="仿宋"/>
          <w:sz w:val="32"/>
          <w:szCs w:val="32"/>
        </w:rPr>
        <w:t xml:space="preserve">  市、自治县（区）人民政府应当在城乡建设规划中安排必要的中小企业建设用地，鼓励社会各类资本投资建设中小企业创业基地，或利用闲置厂房、场地建立中小企业孵化基地，为创业企业提供生产经营场所。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第十五条  </w:t>
      </w:r>
      <w:r>
        <w:rPr>
          <w:rFonts w:hint="eastAsia" w:ascii="仿宋" w:hAnsi="仿宋" w:eastAsia="仿宋" w:cs="仿宋"/>
          <w:sz w:val="32"/>
          <w:szCs w:val="32"/>
        </w:rPr>
        <w:t>吸纳下岗失业人员、安置残疾人员达到国家规定比例的中小企业、符合国家支持和鼓励发展政策的中小企业以及为中小企业服务的各类服务组织，按照有关规定享受税费优惠政策。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第十六条</w:t>
      </w:r>
      <w:r>
        <w:rPr>
          <w:rFonts w:hint="eastAsia" w:ascii="仿宋" w:hAnsi="仿宋" w:eastAsia="仿宋" w:cs="仿宋"/>
          <w:sz w:val="32"/>
          <w:szCs w:val="32"/>
        </w:rPr>
        <w:t xml:space="preserve">  鼓励中小企业创造就业岗位。对中小企业吸纳就业符合有关规定条件的，应当给予促进就业资金支持。</w:t>
      </w:r>
    </w:p>
    <w:p>
      <w:pPr>
        <w:pStyle w:val="2"/>
        <w:rPr>
          <w:rFonts w:hint="eastAsia"/>
        </w:rPr>
      </w:pPr>
      <w:bookmarkStart w:id="3" w:name="_Toc6555"/>
    </w:p>
    <w:p>
      <w:pPr>
        <w:pStyle w:val="2"/>
        <w:rPr>
          <w:rFonts w:hint="eastAsia"/>
        </w:rPr>
      </w:pPr>
      <w:r>
        <w:rPr>
          <w:rFonts w:hint="eastAsia"/>
        </w:rPr>
        <w:t>第四章  技术创新</w:t>
      </w:r>
      <w:bookmarkEnd w:id="3"/>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第十七条 </w:t>
      </w:r>
      <w:r>
        <w:rPr>
          <w:rFonts w:hint="eastAsia" w:ascii="仿宋" w:hAnsi="仿宋" w:eastAsia="仿宋" w:cs="仿宋"/>
          <w:sz w:val="32"/>
          <w:szCs w:val="32"/>
        </w:rPr>
        <w:t xml:space="preserve"> 市、自治县（区）人民政府应当鼓励和支持中小企业进入各类工业园区，建立规模化的技术创新基地和科技企业孵化基地，并提供技术信息、人才培训等服务。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第十八条</w:t>
      </w:r>
      <w:r>
        <w:rPr>
          <w:rFonts w:hint="eastAsia" w:ascii="仿宋" w:hAnsi="仿宋" w:eastAsia="仿宋" w:cs="仿宋"/>
          <w:sz w:val="32"/>
          <w:szCs w:val="32"/>
        </w:rPr>
        <w:t xml:space="preserve">  鼓励中小企业开展创新活动。中小企业开展技术创新、符合国家和省市技术创新等规定的，可以向政府相关部门申请中小企业创新资金支持。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中小企业开发新技术、新产品、新工艺发生的研发费用，可依法在计算应纳税所得额中加计扣除。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第十九条</w:t>
      </w:r>
      <w:r>
        <w:rPr>
          <w:rFonts w:hint="eastAsia" w:ascii="仿宋" w:hAnsi="仿宋" w:eastAsia="仿宋" w:cs="仿宋"/>
          <w:sz w:val="32"/>
          <w:szCs w:val="32"/>
        </w:rPr>
        <w:t xml:space="preserve">  鼓励中小企业与高等院校、科研院所合作兴办各类科技研发机构，开展产学研联合攻关活动，支持中小企业建立各类技术研发中心，发挥技术平台服务功能，为中小企业发展提供服务。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支持产业集群内具备自主研发能力的企业，设立或带动其他中小企业建立共性技术研发机构或技术联盟，提高产业集群整体研发水平。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第二十条</w:t>
      </w:r>
      <w:r>
        <w:rPr>
          <w:rFonts w:hint="eastAsia" w:ascii="仿宋" w:hAnsi="仿宋" w:eastAsia="仿宋" w:cs="仿宋"/>
          <w:sz w:val="32"/>
          <w:szCs w:val="32"/>
        </w:rPr>
        <w:t xml:space="preserve">  支持中小企业利用新技术、新工艺、新设备、新材料等进行技术改造，技术改造项目发生金融贷款的，按相关规定给予贷款贴息。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鼓励中小企业积极引进消化国外先进技术，不断提高产品质量。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第二十一条 </w:t>
      </w:r>
      <w:r>
        <w:rPr>
          <w:rFonts w:hint="eastAsia" w:ascii="仿宋" w:hAnsi="仿宋" w:eastAsia="仿宋" w:cs="仿宋"/>
          <w:sz w:val="32"/>
          <w:szCs w:val="32"/>
        </w:rPr>
        <w:t xml:space="preserve"> 市、自治县（区）人民政府应当鼓励中小企业争创名牌产品。有关部门应当加强对中小企业自主品牌的保护，完善品牌建设激励机制。</w:t>
      </w:r>
    </w:p>
    <w:p>
      <w:pPr>
        <w:pStyle w:val="2"/>
        <w:rPr>
          <w:rFonts w:hint="eastAsia"/>
        </w:rPr>
      </w:pPr>
      <w:bookmarkStart w:id="4" w:name="_Toc10531"/>
    </w:p>
    <w:p>
      <w:pPr>
        <w:pStyle w:val="2"/>
        <w:rPr>
          <w:rFonts w:hint="eastAsia"/>
        </w:rPr>
      </w:pPr>
      <w:r>
        <w:rPr>
          <w:rFonts w:hint="eastAsia"/>
        </w:rPr>
        <w:t>第五章  市场开拓</w:t>
      </w:r>
      <w:bookmarkEnd w:id="4"/>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第二十二条 </w:t>
      </w:r>
      <w:r>
        <w:rPr>
          <w:rFonts w:hint="eastAsia" w:ascii="仿宋" w:hAnsi="仿宋" w:eastAsia="仿宋" w:cs="仿宋"/>
          <w:sz w:val="32"/>
          <w:szCs w:val="32"/>
        </w:rPr>
        <w:t xml:space="preserve"> 市、自治县（区）人民政府应当为中小企业参与国内外产品展览、推介、促销活动提供便利，支持中小企业开拓市场。支持各类商会、行业协会组织中小企业参加全国性或者区域性的商品展览展销推介活动。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鼓励符合条件的中小企业参与国际贸易，开拓国际市场，建立国外市场营销网络，参加境外投标等活动。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第二十三条 </w:t>
      </w:r>
      <w:r>
        <w:rPr>
          <w:rFonts w:hint="eastAsia" w:ascii="仿宋" w:hAnsi="仿宋" w:eastAsia="仿宋" w:cs="仿宋"/>
          <w:sz w:val="32"/>
          <w:szCs w:val="32"/>
        </w:rPr>
        <w:t xml:space="preserve"> 支持中小企业与国内外大企业协作配套。通过建立专业化分工协作关系，促进中小企业产品进入国内外大企业产业链或者采购系统。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引导本地区大企业从中小企业选购配套产品和零部件，鼓励大企业将部分产品或者零部件委托给中小企业加工生产，建立互利共赢的协作关系，带动和促进中小企业发展。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第二十四条</w:t>
      </w:r>
      <w:r>
        <w:rPr>
          <w:rFonts w:hint="eastAsia" w:ascii="仿宋" w:hAnsi="仿宋" w:eastAsia="仿宋" w:cs="仿宋"/>
          <w:sz w:val="32"/>
          <w:szCs w:val="32"/>
        </w:rPr>
        <w:t xml:space="preserve">  市、自治县（区）人民政府标准化行政主管部门应当支持、帮助企业跟踪研究国际标准以及主要出口国家和地区的技术性贸易措施，为中小企业提供信息和服务。引导中小企业采用国际先进标准，提高产品质量，增强应对技术性贸易措施的能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第二十五条</w:t>
      </w:r>
      <w:r>
        <w:rPr>
          <w:rFonts w:hint="eastAsia" w:ascii="仿宋" w:hAnsi="仿宋" w:eastAsia="仿宋" w:cs="仿宋"/>
          <w:sz w:val="32"/>
          <w:szCs w:val="32"/>
        </w:rPr>
        <w:t xml:space="preserve">  政府相关部门应当定期公布政府采购信息，支持中小企业参与政府采购。政府采购计划方案应当预留一定比例的采购额，专门面向中小企业进行采购。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采购人或者采购代理机构在组织采购活动时，应当在招标文件或者谈判文件、询价文件中注明专门面向中小企业的采购项目。</w:t>
      </w:r>
    </w:p>
    <w:p>
      <w:pPr>
        <w:pStyle w:val="2"/>
        <w:rPr>
          <w:rFonts w:hint="eastAsia"/>
        </w:rPr>
      </w:pPr>
      <w:bookmarkStart w:id="5" w:name="_Toc5767"/>
    </w:p>
    <w:p>
      <w:pPr>
        <w:pStyle w:val="2"/>
        <w:rPr>
          <w:rFonts w:hint="eastAsia"/>
        </w:rPr>
      </w:pPr>
      <w:r>
        <w:rPr>
          <w:rFonts w:hint="eastAsia"/>
        </w:rPr>
        <w:t>第六章  公共服务</w:t>
      </w:r>
      <w:bookmarkEnd w:id="5"/>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第二十六条</w:t>
      </w:r>
      <w:r>
        <w:rPr>
          <w:rFonts w:hint="eastAsia" w:ascii="仿宋" w:hAnsi="仿宋" w:eastAsia="仿宋" w:cs="仿宋"/>
          <w:sz w:val="32"/>
          <w:szCs w:val="32"/>
        </w:rPr>
        <w:t xml:space="preserve">  市、自治县（区）人民政府要公开投资目录和许可程序，保护中小企业依法参与市场公平竞争的权利。法律、法规未禁止进入的行业和领域，中小企业均可以平等进入，不得对其设定歧视性的市场准入条件。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第二十七条</w:t>
      </w:r>
      <w:r>
        <w:rPr>
          <w:rFonts w:hint="eastAsia" w:ascii="仿宋" w:hAnsi="仿宋" w:eastAsia="仿宋" w:cs="仿宋"/>
          <w:sz w:val="32"/>
          <w:szCs w:val="32"/>
        </w:rPr>
        <w:t xml:space="preserve">  建立健全中小企业服务体系和诚信建设体系，为中小企业提供创业辅导、经营管理、信息咨询、人才引进、市场开拓等方面的服务。支持社会力量建立行业协会、商会、促进会等各类社会中介服务机构，为中小企业提供各种形式的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第二十八条</w:t>
      </w:r>
      <w:r>
        <w:rPr>
          <w:rFonts w:hint="eastAsia" w:ascii="仿宋" w:hAnsi="仿宋" w:eastAsia="仿宋" w:cs="仿宋"/>
          <w:sz w:val="32"/>
          <w:szCs w:val="32"/>
        </w:rPr>
        <w:t xml:space="preserve">  鼓励中小企业参与公共管理政策的制定。市、自治县（区）人民政府以及有关部门的重大决策涉及企业利益时，应当召开听证会或者以其他形式听取有关中小企业以及行业协会、商会等社会组织的意见和建议。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第二十九条 </w:t>
      </w:r>
      <w:r>
        <w:rPr>
          <w:rFonts w:hint="eastAsia" w:ascii="仿宋" w:hAnsi="仿宋" w:eastAsia="仿宋" w:cs="仿宋"/>
          <w:sz w:val="32"/>
          <w:szCs w:val="32"/>
        </w:rPr>
        <w:t xml:space="preserve"> 主管中小企业工作的部门应当依法会同统计部门建立健全中小企业统计体系，及时搜集、汇总、公开相关信息。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自治县（区）人民政府以及所属乡镇、街道办事处应当配备专业人员做好中小企业统计工作。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第三十条</w:t>
      </w:r>
      <w:r>
        <w:rPr>
          <w:rFonts w:hint="eastAsia" w:ascii="仿宋" w:hAnsi="仿宋" w:eastAsia="仿宋" w:cs="仿宋"/>
          <w:sz w:val="32"/>
          <w:szCs w:val="32"/>
        </w:rPr>
        <w:t xml:space="preserve">  市、自治县（区）人民政府应当建立面向中小企业的信息公开和政策咨询制度，发布促进中小企业发展的各类政策信息。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第三十一条</w:t>
      </w:r>
      <w:r>
        <w:rPr>
          <w:rFonts w:hint="eastAsia" w:ascii="仿宋" w:hAnsi="仿宋" w:eastAsia="仿宋" w:cs="仿宋"/>
          <w:sz w:val="32"/>
          <w:szCs w:val="32"/>
        </w:rPr>
        <w:t xml:space="preserve">  主管中小企业工作的部门应当设立法律法规政策咨询服务机构，建立专业信息服务平台，为中小企业生产经营发展提供优质高效的服务。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相关行政部门应当面向中小企业公示相关的办事流程、期限，申报材料种类、收费标准、复议诉讼权利、服务承诺事项以及问责程序制度等信息。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第三十二条</w:t>
      </w:r>
      <w:r>
        <w:rPr>
          <w:rFonts w:hint="eastAsia" w:ascii="仿宋" w:hAnsi="仿宋" w:eastAsia="仿宋" w:cs="仿宋"/>
          <w:sz w:val="32"/>
          <w:szCs w:val="32"/>
        </w:rPr>
        <w:t xml:space="preserve">  市、自治县（区）人民政府应当在中小企业职称评定、资格认证、教育培训等方面提供便利。鼓励高级管理人员、专业科技人员、高校毕业生到中小企业工作，为中小企业人才交流创造良好条件。</w:t>
      </w:r>
    </w:p>
    <w:p>
      <w:pPr>
        <w:pStyle w:val="2"/>
        <w:rPr>
          <w:rFonts w:hint="eastAsia"/>
        </w:rPr>
      </w:pPr>
      <w:bookmarkStart w:id="6" w:name="_Toc4501"/>
    </w:p>
    <w:p>
      <w:pPr>
        <w:pStyle w:val="2"/>
        <w:rPr>
          <w:rFonts w:hint="eastAsia"/>
        </w:rPr>
      </w:pPr>
      <w:r>
        <w:rPr>
          <w:rFonts w:hint="eastAsia"/>
        </w:rPr>
        <w:t>第七章  权益保护</w:t>
      </w:r>
      <w:bookmarkEnd w:id="6"/>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第三十三条 </w:t>
      </w:r>
      <w:r>
        <w:rPr>
          <w:rFonts w:hint="eastAsia" w:ascii="仿宋" w:hAnsi="仿宋" w:eastAsia="仿宋" w:cs="仿宋"/>
          <w:sz w:val="32"/>
          <w:szCs w:val="32"/>
        </w:rPr>
        <w:t xml:space="preserve"> 相关部门及执法单位不得假借监督、执法检查等名义，干扰中小企业正常的生产经营活动，努力营造中小企业发展的良好外部环境，切实保障中小企业的合法权益。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第三十四条</w:t>
      </w:r>
      <w:r>
        <w:rPr>
          <w:rFonts w:hint="eastAsia" w:ascii="仿宋" w:hAnsi="仿宋" w:eastAsia="仿宋" w:cs="仿宋"/>
          <w:sz w:val="32"/>
          <w:szCs w:val="32"/>
        </w:rPr>
        <w:t xml:space="preserve">  建立健全中小企业投诉制度。主管中小企业工作的部门应当加强对中小企业合法权益保护情况的监督管理工作，建立维护中小企业合法权益投诉中心，公开投诉的程序和方式，完善受理举报制度。对受理的投诉和举报应当在5个工作日内给予答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监察机关应当会同主管中小企业工作的部门建立服务中小企业的监督反馈评价机制。优化相关部门以及单位服务流程，查处侵害企业权益的违法违纪案件。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第三十五条</w:t>
      </w:r>
      <w:r>
        <w:rPr>
          <w:rFonts w:hint="eastAsia" w:ascii="仿宋" w:hAnsi="仿宋" w:eastAsia="仿宋" w:cs="仿宋"/>
          <w:sz w:val="32"/>
          <w:szCs w:val="32"/>
        </w:rPr>
        <w:t xml:space="preserve">  因公共利益需要征收中小企业合法使用的土地或者搬迁其经营场所、生产生活设施，导致企业正常生产经营活动受到影响的，政府以及有关部门应当妥善安置，并依法给予补偿。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第三十六条</w:t>
      </w:r>
      <w:r>
        <w:rPr>
          <w:rFonts w:hint="eastAsia" w:ascii="仿宋" w:hAnsi="仿宋" w:eastAsia="仿宋" w:cs="仿宋"/>
          <w:sz w:val="32"/>
          <w:szCs w:val="32"/>
        </w:rPr>
        <w:t xml:space="preserve">  禁止以下损害中小企业合法权益的行为：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（一）强制或者变相强制中小企业参加指定培训、指定服务、购买指定产品或者法律、法规规定以外的保险；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（二）强制或者变相强制中小企业参加达标、评比、评优、考核、升级、排序等活动；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（三）强迫中小企业接受有偿新闻、征订报刊；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（四）强迫中小企业提供赞助或捐赠；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（五）法律法规规定之外或者没有明确监督检查事项的检查；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（六）利用职权非法占有或者无偿使用中小企业财产；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（七）截留、挪用扶持中小企业发展的各项专项资金；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（八）其他损害中小企业合法权益的行为。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第三十七条</w:t>
      </w:r>
      <w:r>
        <w:rPr>
          <w:rFonts w:hint="eastAsia" w:ascii="仿宋" w:hAnsi="仿宋" w:eastAsia="仿宋" w:cs="仿宋"/>
          <w:sz w:val="32"/>
          <w:szCs w:val="32"/>
        </w:rPr>
        <w:t xml:space="preserve">  中小企业对行政机关侵犯其合法权益的行为，有权向侵权机关的上一级机关或者监察机关投诉或者举报；上一级机关或者监察机关接到投诉或者举报后，应当在5个工作日内作出是否受理的决定，并书面答复投诉或者举报人；有处理权的部门应当在15个工作日内作出处理决定，并书面答复投诉人或者举报人；对行政机关作出的具体行政行为不服的，中小企业可以依法申请行政复议或者提起行政诉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第三十八条 </w:t>
      </w:r>
      <w:r>
        <w:rPr>
          <w:rFonts w:hint="eastAsia" w:ascii="仿宋" w:hAnsi="仿宋" w:eastAsia="仿宋" w:cs="仿宋"/>
          <w:sz w:val="32"/>
          <w:szCs w:val="32"/>
        </w:rPr>
        <w:t xml:space="preserve"> 国家机关工作人员违反本条例规定，在工作中滥用职权、玩忽职守、徇私舞弊侵犯中小企业合法权益的，由其所在单位或者上级主管部门依法给予行政处分；造成损失的，依法承担赔偿责任；构成犯罪的，依法追究刑事责任。</w:t>
      </w:r>
    </w:p>
    <w:p>
      <w:pPr>
        <w:pStyle w:val="2"/>
        <w:rPr>
          <w:rFonts w:hint="eastAsia"/>
        </w:rPr>
      </w:pPr>
      <w:bookmarkStart w:id="7" w:name="_Toc20775"/>
    </w:p>
    <w:p>
      <w:pPr>
        <w:pStyle w:val="2"/>
        <w:rPr>
          <w:rFonts w:hint="eastAsia"/>
        </w:rPr>
      </w:pPr>
      <w:r>
        <w:rPr>
          <w:rFonts w:hint="eastAsia"/>
        </w:rPr>
        <w:t>第八章  附    则</w:t>
      </w:r>
      <w:bookmarkEnd w:id="7"/>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第三十九条</w:t>
      </w:r>
      <w:r>
        <w:rPr>
          <w:rFonts w:hint="eastAsia" w:ascii="仿宋" w:hAnsi="仿宋" w:eastAsia="仿宋" w:cs="仿宋"/>
          <w:sz w:val="32"/>
          <w:szCs w:val="32"/>
        </w:rPr>
        <w:t xml:space="preserve">  市人民政府可以依据本条例制定实施细则。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第四十条</w:t>
      </w:r>
      <w:r>
        <w:rPr>
          <w:rFonts w:hint="eastAsia" w:ascii="仿宋" w:hAnsi="仿宋" w:eastAsia="仿宋" w:cs="仿宋"/>
          <w:sz w:val="32"/>
          <w:szCs w:val="32"/>
        </w:rPr>
        <w:t xml:space="preserve">  本条例自2013年1月1日起施行。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p>
    <w:sectPr>
      <w:footerReference r:id="rId3" w:type="default"/>
      <w:pgSz w:w="11906" w:h="16838"/>
      <w:pgMar w:top="2041" w:right="1531" w:bottom="2041" w:left="1531" w:header="720" w:footer="720" w:gutter="0"/>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eastAsia="宋体"/>
                              <w:sz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eastAsia="宋体"/>
                        <w:sz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7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645A25"/>
    <w:rsid w:val="03101B00"/>
    <w:rsid w:val="038507CF"/>
    <w:rsid w:val="03F621EB"/>
    <w:rsid w:val="061727BB"/>
    <w:rsid w:val="06A224FA"/>
    <w:rsid w:val="07103D07"/>
    <w:rsid w:val="096D37B7"/>
    <w:rsid w:val="0B7B7CC5"/>
    <w:rsid w:val="0B8F645A"/>
    <w:rsid w:val="0CBB6B9F"/>
    <w:rsid w:val="0FC44DD1"/>
    <w:rsid w:val="10C73E3E"/>
    <w:rsid w:val="11111476"/>
    <w:rsid w:val="11B33B52"/>
    <w:rsid w:val="1428757A"/>
    <w:rsid w:val="15F50CD9"/>
    <w:rsid w:val="16EF1387"/>
    <w:rsid w:val="17930C2B"/>
    <w:rsid w:val="183D115D"/>
    <w:rsid w:val="18F47F47"/>
    <w:rsid w:val="19C11B03"/>
    <w:rsid w:val="1BC72442"/>
    <w:rsid w:val="1CE66C1D"/>
    <w:rsid w:val="1DAA7C70"/>
    <w:rsid w:val="1DDB73C2"/>
    <w:rsid w:val="1F341199"/>
    <w:rsid w:val="22284B2C"/>
    <w:rsid w:val="22433F6E"/>
    <w:rsid w:val="235C5AAC"/>
    <w:rsid w:val="23DE1942"/>
    <w:rsid w:val="25E2161E"/>
    <w:rsid w:val="2643212B"/>
    <w:rsid w:val="26E729DF"/>
    <w:rsid w:val="274058DB"/>
    <w:rsid w:val="28A50E95"/>
    <w:rsid w:val="2A0B3AA7"/>
    <w:rsid w:val="2CD606A8"/>
    <w:rsid w:val="2D0E3ADF"/>
    <w:rsid w:val="2D73303C"/>
    <w:rsid w:val="2E6676E5"/>
    <w:rsid w:val="2FA31AAA"/>
    <w:rsid w:val="2FC8557C"/>
    <w:rsid w:val="31A61F8B"/>
    <w:rsid w:val="32C21DA7"/>
    <w:rsid w:val="38BE615B"/>
    <w:rsid w:val="394965B5"/>
    <w:rsid w:val="3AE06609"/>
    <w:rsid w:val="3CDD4865"/>
    <w:rsid w:val="3D550FE6"/>
    <w:rsid w:val="3F3418A9"/>
    <w:rsid w:val="40AE3FC7"/>
    <w:rsid w:val="437901A6"/>
    <w:rsid w:val="4383125A"/>
    <w:rsid w:val="45F74D0D"/>
    <w:rsid w:val="48072744"/>
    <w:rsid w:val="480F7B50"/>
    <w:rsid w:val="488611B4"/>
    <w:rsid w:val="49A047A8"/>
    <w:rsid w:val="49C95066"/>
    <w:rsid w:val="4EA77752"/>
    <w:rsid w:val="504135F2"/>
    <w:rsid w:val="51495204"/>
    <w:rsid w:val="51AB76A6"/>
    <w:rsid w:val="529A7A4C"/>
    <w:rsid w:val="52C81485"/>
    <w:rsid w:val="54913A14"/>
    <w:rsid w:val="55694734"/>
    <w:rsid w:val="589502BE"/>
    <w:rsid w:val="5B165E0B"/>
    <w:rsid w:val="5B902342"/>
    <w:rsid w:val="5D645A25"/>
    <w:rsid w:val="5E145884"/>
    <w:rsid w:val="5ED76853"/>
    <w:rsid w:val="5F7E0093"/>
    <w:rsid w:val="5FC30292"/>
    <w:rsid w:val="60423BFA"/>
    <w:rsid w:val="60C96326"/>
    <w:rsid w:val="61C62213"/>
    <w:rsid w:val="626608CF"/>
    <w:rsid w:val="62867007"/>
    <w:rsid w:val="63C85697"/>
    <w:rsid w:val="63EC2FBA"/>
    <w:rsid w:val="67187CB0"/>
    <w:rsid w:val="674E5E60"/>
    <w:rsid w:val="69D71A1A"/>
    <w:rsid w:val="6B863C80"/>
    <w:rsid w:val="6BAD38B5"/>
    <w:rsid w:val="6CB45FC4"/>
    <w:rsid w:val="6CEC328A"/>
    <w:rsid w:val="70E2771A"/>
    <w:rsid w:val="717376A1"/>
    <w:rsid w:val="71A67F1B"/>
    <w:rsid w:val="72BD2DA7"/>
    <w:rsid w:val="7399452D"/>
    <w:rsid w:val="73DB2B17"/>
    <w:rsid w:val="744471EF"/>
    <w:rsid w:val="7549098E"/>
    <w:rsid w:val="79862DEA"/>
    <w:rsid w:val="7B3402FE"/>
    <w:rsid w:val="7C635EFB"/>
    <w:rsid w:val="7CFD0985"/>
    <w:rsid w:val="7CFD4A35"/>
    <w:rsid w:val="7D0A510C"/>
    <w:rsid w:val="7E2F09B9"/>
    <w:rsid w:val="7ED520D5"/>
    <w:rsid w:val="7F9416F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Autospacing="0" w:afterAutospacing="0" w:line="560" w:lineRule="exact"/>
      <w:jc w:val="center"/>
      <w:outlineLvl w:val="0"/>
    </w:pPr>
    <w:rPr>
      <w:rFonts w:eastAsia="黑体"/>
      <w:kern w:val="44"/>
      <w:sz w:val="32"/>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jc w:val="center"/>
      <w:outlineLvl w:val="1"/>
    </w:pPr>
    <w:rPr>
      <w:rFonts w:ascii="Arial" w:hAnsi="Arial" w:eastAsia="宋体"/>
      <w:sz w:val="44"/>
    </w:rPr>
  </w:style>
  <w:style w:type="paragraph" w:styleId="4">
    <w:name w:val="heading 3"/>
    <w:basedOn w:val="1"/>
    <w:next w:val="1"/>
    <w:unhideWhenUsed/>
    <w:qFormat/>
    <w:uiPriority w:val="0"/>
    <w:pPr>
      <w:keepNext/>
      <w:keepLines/>
      <w:spacing w:beforeAutospacing="0" w:afterAutospacing="0" w:line="560" w:lineRule="exact"/>
      <w:jc w:val="center"/>
      <w:outlineLvl w:val="2"/>
    </w:pPr>
    <w:rPr>
      <w:sz w:val="32"/>
    </w:rPr>
  </w:style>
  <w:style w:type="character" w:default="1" w:styleId="10">
    <w:name w:val="Default Paragraph Font"/>
    <w:semiHidden/>
    <w:qFormat/>
    <w:uiPriority w:val="0"/>
  </w:style>
  <w:style w:type="table" w:default="1" w:styleId="11">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Layout w:type="fixed"/>
      <w:tblCellMar>
        <w:top w:w="0" w:type="dxa"/>
        <w:left w:w="108" w:type="dxa"/>
        <w:bottom w:w="0" w:type="dxa"/>
        <w:right w:w="108" w:type="dxa"/>
      </w:tblCellMar>
    </w:tblPr>
    <w:tcPr>
      <w:textDirection w:val="lrTb"/>
    </w:tcPr>
  </w:style>
  <w:style w:type="paragraph" w:styleId="5">
    <w:name w:val="toc 3"/>
    <w:basedOn w:val="1"/>
    <w:next w:val="1"/>
    <w:uiPriority w:val="0"/>
    <w:pPr>
      <w:ind w:left="840" w:leftChars="4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pPr>
      <w:spacing w:line="560" w:lineRule="exact"/>
      <w:ind w:firstLine="640" w:firstLineChars="200"/>
    </w:pPr>
    <w:rPr>
      <w:rFonts w:eastAsia="楷体"/>
      <w:sz w:val="32"/>
    </w:rPr>
  </w:style>
  <w:style w:type="paragraph" w:styleId="9">
    <w:name w:val="toc 2"/>
    <w:basedOn w:val="1"/>
    <w:next w:val="1"/>
    <w:qFormat/>
    <w:uiPriority w:val="0"/>
    <w:pPr>
      <w:ind w:left="420" w:leftChars="200"/>
    </w:pPr>
  </w:style>
  <w:style w:type="paragraph" w:customStyle="1" w:styleId="12">
    <w:name w:val="题注000"/>
    <w:basedOn w:val="1"/>
    <w:link w:val="14"/>
    <w:qFormat/>
    <w:uiPriority w:val="0"/>
    <w:pPr>
      <w:spacing w:line="560" w:lineRule="exact"/>
      <w:ind w:left="630" w:leftChars="300" w:right="630" w:rightChars="300"/>
    </w:pPr>
    <w:rPr>
      <w:rFonts w:eastAsia="楷体"/>
      <w:sz w:val="32"/>
    </w:rPr>
  </w:style>
  <w:style w:type="paragraph" w:customStyle="1" w:styleId="13">
    <w:name w:val="目录0000"/>
    <w:basedOn w:val="8"/>
    <w:qFormat/>
    <w:uiPriority w:val="0"/>
  </w:style>
  <w:style w:type="character" w:customStyle="1" w:styleId="14">
    <w:name w:val="题注000 Char"/>
    <w:link w:val="12"/>
    <w:uiPriority w:val="0"/>
    <w:rPr>
      <w:rFonts w:eastAsia="楷体"/>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2017-02-10T06:41:00Z</dcterms:created>
  <dc:creator>Administrator</dc:creator>
  <cp:lastModifiedBy>Administrator</cp:lastModifiedBy>
  <dcterms:modified xsi:type="dcterms:W3CDTF">2017-02-16T16:26:28Z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