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2"/>
        <w:rPr>
          <w:rFonts w:hint="eastAsia"/>
          <w:lang w:val="en-US" w:eastAsia="zh-CN"/>
        </w:rPr>
      </w:pPr>
    </w:p>
    <w:p>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2"/>
        <w:rPr>
          <w:rFonts w:hint="eastAsia"/>
          <w:lang w:val="en-US" w:eastAsia="zh-CN"/>
        </w:rPr>
      </w:pPr>
    </w:p>
    <w:p>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2"/>
        <w:rPr>
          <w:rFonts w:hint="eastAsia"/>
          <w:lang w:val="en-US"/>
        </w:rPr>
      </w:pPr>
      <w:r>
        <w:rPr>
          <w:rFonts w:hint="eastAsia"/>
          <w:lang w:val="en-US" w:eastAsia="zh-CN"/>
        </w:rPr>
        <w:t>鞍山市科学技术进步条例</w:t>
      </w:r>
    </w:p>
    <w:p>
      <w:pPr>
        <w:pStyle w:val="7"/>
        <w:rPr>
          <w:rFonts w:hint="eastAsia"/>
          <w:lang w:val="en-US" w:eastAsia="zh-CN"/>
        </w:rPr>
      </w:pPr>
    </w:p>
    <w:p>
      <w:pPr>
        <w:pStyle w:val="7"/>
        <w:rPr>
          <w:rFonts w:hint="eastAsia"/>
          <w:lang w:val="en-US" w:eastAsia="zh-CN"/>
        </w:rPr>
      </w:pPr>
      <w:r>
        <w:rPr>
          <w:rFonts w:hint="eastAsia"/>
          <w:lang w:val="en-US" w:eastAsia="zh-CN"/>
        </w:rPr>
        <w:t>（2012年1月9日鞍山市第十四届人民代表大会第五次会议通过  2012年3月30日辽宁省第十一届人民代表大会常务委员会第二十八次会议批准）</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楷体" w:hAnsi="楷体" w:eastAsia="楷体" w:cs="楷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eastAsia" w:ascii="楷体" w:hAnsi="楷体" w:eastAsia="楷体" w:cs="楷体"/>
          <w:kern w:val="2"/>
          <w:sz w:val="32"/>
          <w:szCs w:val="32"/>
          <w:lang w:val="en-US" w:eastAsia="zh-CN" w:bidi="ar"/>
        </w:rPr>
      </w:pPr>
      <w:r>
        <w:rPr>
          <w:rFonts w:hint="eastAsia" w:ascii="楷体" w:hAnsi="楷体" w:eastAsia="楷体" w:cs="楷体"/>
          <w:kern w:val="2"/>
          <w:sz w:val="32"/>
          <w:szCs w:val="32"/>
          <w:lang w:val="en-US" w:eastAsia="zh-CN" w:bidi="ar"/>
        </w:rPr>
        <w:t>目    录</w:t>
      </w:r>
    </w:p>
    <w:p>
      <w:pPr>
        <w:keepNext w:val="0"/>
        <w:keepLines w:val="0"/>
        <w:widowControl w:val="0"/>
        <w:suppressLineNumbers w:val="0"/>
        <w:spacing w:before="0" w:beforeAutospacing="0" w:after="0" w:afterAutospacing="0" w:line="560" w:lineRule="exact"/>
        <w:ind w:left="0" w:right="0" w:firstLine="640" w:firstLineChars="200"/>
        <w:jc w:val="center"/>
        <w:rPr>
          <w:rFonts w:hint="eastAsia" w:ascii="楷体" w:hAnsi="楷体" w:eastAsia="楷体" w:cs="楷体"/>
          <w:kern w:val="2"/>
          <w:sz w:val="32"/>
          <w:szCs w:val="32"/>
          <w:lang w:val="en-US" w:eastAsia="zh-CN" w:bidi="ar"/>
        </w:rPr>
      </w:pPr>
    </w:p>
    <w:p>
      <w:pPr>
        <w:pStyle w:val="10"/>
      </w:pPr>
      <w:r>
        <w:rPr>
          <w:rFonts w:hint="eastAsia"/>
          <w:lang w:val="en-US" w:eastAsia="zh-CN"/>
        </w:rPr>
        <w:fldChar w:fldCharType="begin"/>
      </w:r>
      <w:r>
        <w:rPr>
          <w:rFonts w:hint="eastAsia"/>
          <w:lang w:val="en-US" w:eastAsia="zh-CN"/>
        </w:rPr>
        <w:instrText xml:space="preserve">TOC \o "1-1" \n  \h \u </w:instrText>
      </w:r>
      <w:r>
        <w:rPr>
          <w:rFonts w:hint="eastAsia"/>
          <w:lang w:val="en-US" w:eastAsia="zh-CN"/>
        </w:rPr>
        <w:fldChar w:fldCharType="separate"/>
      </w:r>
      <w:r>
        <w:rPr>
          <w:rFonts w:hint="eastAsia"/>
          <w:lang w:val="en-US" w:eastAsia="zh-CN"/>
        </w:rPr>
        <w:fldChar w:fldCharType="begin"/>
      </w:r>
      <w:r>
        <w:rPr>
          <w:rFonts w:hint="eastAsia"/>
          <w:lang w:val="en-US" w:eastAsia="zh-CN"/>
        </w:rPr>
        <w:instrText xml:space="preserve"> HYPERLINK \l _Toc25753 </w:instrText>
      </w:r>
      <w:r>
        <w:rPr>
          <w:rFonts w:hint="eastAsia"/>
          <w:lang w:val="en-US" w:eastAsia="zh-CN"/>
        </w:rPr>
        <w:fldChar w:fldCharType="separate"/>
      </w:r>
      <w:r>
        <w:rPr>
          <w:rFonts w:hint="eastAsia"/>
          <w:lang w:val="en-US" w:eastAsia="zh-CN"/>
        </w:rPr>
        <w:t>第一章  总    则</w:t>
      </w:r>
      <w:r>
        <w:rPr>
          <w:rFonts w:hint="eastAsia"/>
          <w:lang w:val="en-US" w:eastAsia="zh-CN"/>
        </w:rPr>
        <w:fldChar w:fldCharType="end"/>
      </w:r>
    </w:p>
    <w:p>
      <w:pPr>
        <w:pStyle w:val="10"/>
      </w:pPr>
      <w:r>
        <w:rPr>
          <w:rFonts w:hint="eastAsia"/>
          <w:lang w:val="en-US" w:eastAsia="zh-CN"/>
        </w:rPr>
        <w:fldChar w:fldCharType="begin"/>
      </w:r>
      <w:r>
        <w:rPr>
          <w:rFonts w:hint="eastAsia"/>
          <w:lang w:val="en-US" w:eastAsia="zh-CN"/>
        </w:rPr>
        <w:instrText xml:space="preserve"> HYPERLINK \l _Toc2498 </w:instrText>
      </w:r>
      <w:r>
        <w:rPr>
          <w:rFonts w:hint="eastAsia"/>
          <w:lang w:val="en-US" w:eastAsia="zh-CN"/>
        </w:rPr>
        <w:fldChar w:fldCharType="separate"/>
      </w:r>
      <w:r>
        <w:rPr>
          <w:rFonts w:hint="eastAsia"/>
          <w:lang w:val="en-US" w:eastAsia="zh-CN"/>
        </w:rPr>
        <w:t>第二章  科学研究、技术开发与科学技术推广应用</w:t>
      </w:r>
      <w:r>
        <w:rPr>
          <w:rFonts w:hint="eastAsia"/>
          <w:lang w:val="en-US" w:eastAsia="zh-CN"/>
        </w:rPr>
        <w:fldChar w:fldCharType="end"/>
      </w:r>
    </w:p>
    <w:p>
      <w:pPr>
        <w:pStyle w:val="10"/>
      </w:pPr>
      <w:r>
        <w:rPr>
          <w:rFonts w:hint="eastAsia"/>
          <w:lang w:val="en-US" w:eastAsia="zh-CN"/>
        </w:rPr>
        <w:fldChar w:fldCharType="begin"/>
      </w:r>
      <w:r>
        <w:rPr>
          <w:rFonts w:hint="eastAsia"/>
          <w:lang w:val="en-US" w:eastAsia="zh-CN"/>
        </w:rPr>
        <w:instrText xml:space="preserve"> HYPERLINK \l _Toc25500 </w:instrText>
      </w:r>
      <w:r>
        <w:rPr>
          <w:rFonts w:hint="eastAsia"/>
          <w:lang w:val="en-US" w:eastAsia="zh-CN"/>
        </w:rPr>
        <w:fldChar w:fldCharType="separate"/>
      </w:r>
      <w:r>
        <w:rPr>
          <w:rFonts w:hint="eastAsia"/>
          <w:lang w:val="en-US" w:eastAsia="zh-CN"/>
        </w:rPr>
        <w:t>第三章  企业技术进步</w:t>
      </w:r>
      <w:r>
        <w:rPr>
          <w:rFonts w:hint="eastAsia"/>
          <w:lang w:val="en-US" w:eastAsia="zh-CN"/>
        </w:rPr>
        <w:fldChar w:fldCharType="end"/>
      </w:r>
    </w:p>
    <w:p>
      <w:pPr>
        <w:pStyle w:val="10"/>
      </w:pPr>
      <w:r>
        <w:rPr>
          <w:rFonts w:hint="eastAsia"/>
          <w:lang w:val="en-US" w:eastAsia="zh-CN"/>
        </w:rPr>
        <w:fldChar w:fldCharType="begin"/>
      </w:r>
      <w:r>
        <w:rPr>
          <w:rFonts w:hint="eastAsia"/>
          <w:lang w:val="en-US" w:eastAsia="zh-CN"/>
        </w:rPr>
        <w:instrText xml:space="preserve"> HYPERLINK \l _Toc16961 </w:instrText>
      </w:r>
      <w:r>
        <w:rPr>
          <w:rFonts w:hint="eastAsia"/>
          <w:lang w:val="en-US" w:eastAsia="zh-CN"/>
        </w:rPr>
        <w:fldChar w:fldCharType="separate"/>
      </w:r>
      <w:r>
        <w:rPr>
          <w:rFonts w:hint="eastAsia"/>
          <w:lang w:val="en-US" w:eastAsia="zh-CN"/>
        </w:rPr>
        <w:t>第四章  农业技术进步</w:t>
      </w:r>
      <w:r>
        <w:rPr>
          <w:rFonts w:hint="eastAsia"/>
          <w:lang w:val="en-US" w:eastAsia="zh-CN"/>
        </w:rPr>
        <w:fldChar w:fldCharType="end"/>
      </w:r>
    </w:p>
    <w:p>
      <w:pPr>
        <w:pStyle w:val="10"/>
      </w:pPr>
      <w:r>
        <w:rPr>
          <w:rFonts w:hint="eastAsia"/>
          <w:lang w:val="en-US" w:eastAsia="zh-CN"/>
        </w:rPr>
        <w:fldChar w:fldCharType="begin"/>
      </w:r>
      <w:r>
        <w:rPr>
          <w:rFonts w:hint="eastAsia"/>
          <w:lang w:val="en-US" w:eastAsia="zh-CN"/>
        </w:rPr>
        <w:instrText xml:space="preserve"> HYPERLINK \l _Toc18727 </w:instrText>
      </w:r>
      <w:r>
        <w:rPr>
          <w:rFonts w:hint="eastAsia"/>
          <w:lang w:val="en-US" w:eastAsia="zh-CN"/>
        </w:rPr>
        <w:fldChar w:fldCharType="separate"/>
      </w:r>
      <w:r>
        <w:rPr>
          <w:rFonts w:hint="eastAsia"/>
          <w:lang w:val="en-US" w:eastAsia="zh-CN"/>
        </w:rPr>
        <w:t>第五章  科学技术研究开发机构与科学技术人员</w:t>
      </w:r>
      <w:r>
        <w:rPr>
          <w:rFonts w:hint="eastAsia"/>
          <w:lang w:val="en-US" w:eastAsia="zh-CN"/>
        </w:rPr>
        <w:fldChar w:fldCharType="end"/>
      </w:r>
    </w:p>
    <w:p>
      <w:pPr>
        <w:pStyle w:val="10"/>
      </w:pPr>
      <w:r>
        <w:rPr>
          <w:rFonts w:hint="eastAsia"/>
          <w:lang w:val="en-US" w:eastAsia="zh-CN"/>
        </w:rPr>
        <w:fldChar w:fldCharType="begin"/>
      </w:r>
      <w:r>
        <w:rPr>
          <w:rFonts w:hint="eastAsia"/>
          <w:lang w:val="en-US" w:eastAsia="zh-CN"/>
        </w:rPr>
        <w:instrText xml:space="preserve"> HYPERLINK \l _Toc21921 </w:instrText>
      </w:r>
      <w:r>
        <w:rPr>
          <w:rFonts w:hint="eastAsia"/>
          <w:lang w:val="en-US" w:eastAsia="zh-CN"/>
        </w:rPr>
        <w:fldChar w:fldCharType="separate"/>
      </w:r>
      <w:r>
        <w:rPr>
          <w:rFonts w:hint="eastAsia"/>
          <w:lang w:val="en-US" w:eastAsia="zh-CN"/>
        </w:rPr>
        <w:t>第六章  保障措施</w:t>
      </w:r>
      <w:r>
        <w:rPr>
          <w:rFonts w:hint="eastAsia"/>
          <w:lang w:val="en-US" w:eastAsia="zh-CN"/>
        </w:rPr>
        <w:fldChar w:fldCharType="end"/>
      </w:r>
    </w:p>
    <w:p>
      <w:pPr>
        <w:pStyle w:val="10"/>
      </w:pPr>
      <w:r>
        <w:rPr>
          <w:rFonts w:hint="eastAsia"/>
          <w:lang w:val="en-US" w:eastAsia="zh-CN"/>
        </w:rPr>
        <w:fldChar w:fldCharType="begin"/>
      </w:r>
      <w:r>
        <w:rPr>
          <w:rFonts w:hint="eastAsia"/>
          <w:lang w:val="en-US" w:eastAsia="zh-CN"/>
        </w:rPr>
        <w:instrText xml:space="preserve"> HYPERLINK \l _Toc28575 </w:instrText>
      </w:r>
      <w:r>
        <w:rPr>
          <w:rFonts w:hint="eastAsia"/>
          <w:lang w:val="en-US" w:eastAsia="zh-CN"/>
        </w:rPr>
        <w:fldChar w:fldCharType="separate"/>
      </w:r>
      <w:r>
        <w:rPr>
          <w:rFonts w:hint="eastAsia"/>
          <w:lang w:val="en-US" w:eastAsia="zh-CN"/>
        </w:rPr>
        <w:t>第七章  法律责任</w:t>
      </w:r>
      <w:r>
        <w:rPr>
          <w:rFonts w:hint="eastAsia"/>
          <w:lang w:val="en-US" w:eastAsia="zh-CN"/>
        </w:rPr>
        <w:fldChar w:fldCharType="end"/>
      </w:r>
    </w:p>
    <w:p>
      <w:pPr>
        <w:pStyle w:val="10"/>
      </w:pPr>
      <w:r>
        <w:rPr>
          <w:rFonts w:hint="eastAsia"/>
          <w:lang w:val="en-US" w:eastAsia="zh-CN"/>
        </w:rPr>
        <w:fldChar w:fldCharType="begin"/>
      </w:r>
      <w:r>
        <w:rPr>
          <w:rFonts w:hint="eastAsia"/>
          <w:lang w:val="en-US" w:eastAsia="zh-CN"/>
        </w:rPr>
        <w:instrText xml:space="preserve"> HYPERLINK \l _Toc14993 </w:instrText>
      </w:r>
      <w:r>
        <w:rPr>
          <w:rFonts w:hint="eastAsia"/>
          <w:lang w:val="en-US" w:eastAsia="zh-CN"/>
        </w:rPr>
        <w:fldChar w:fldCharType="separate"/>
      </w:r>
      <w:r>
        <w:rPr>
          <w:rFonts w:hint="eastAsia"/>
          <w:lang w:val="en-US" w:eastAsia="zh-CN"/>
        </w:rPr>
        <w:t>第八章  附    则</w:t>
      </w:r>
      <w:r>
        <w:rPr>
          <w:rFonts w:hint="eastAsia"/>
          <w:lang w:val="en-US" w:eastAsia="zh-CN"/>
        </w:rPr>
        <w:fldChar w:fldCharType="end"/>
      </w:r>
    </w:p>
    <w:p>
      <w:pPr>
        <w:pStyle w:val="10"/>
        <w:rPr>
          <w:rFonts w:hint="eastAsia" w:ascii="楷体" w:hAnsi="楷体" w:eastAsia="楷体" w:cs="楷体"/>
          <w:kern w:val="2"/>
          <w:szCs w:val="32"/>
          <w:lang w:val="en-US" w:eastAsia="zh-CN" w:bidi="ar"/>
        </w:rPr>
      </w:pPr>
      <w:r>
        <w:rPr>
          <w:rFonts w:hint="eastAsia"/>
          <w:lang w:val="en-US" w:eastAsia="zh-CN"/>
        </w:rPr>
        <w:fldChar w:fldCharType="end"/>
      </w:r>
    </w:p>
    <w:p>
      <w:pPr>
        <w:pStyle w:val="2"/>
        <w:rPr>
          <w:rFonts w:hint="eastAsia"/>
          <w:lang w:val="en-US"/>
        </w:rPr>
      </w:pPr>
      <w:bookmarkStart w:id="0" w:name="_Toc25753"/>
      <w:r>
        <w:rPr>
          <w:rFonts w:hint="eastAsia"/>
          <w:lang w:val="en-US" w:eastAsia="zh-CN"/>
        </w:rPr>
        <w:t>第一章  总    则</w:t>
      </w:r>
      <w:bookmarkEnd w:id="0"/>
    </w:p>
    <w:p>
      <w:pPr>
        <w:keepNext w:val="0"/>
        <w:keepLines w:val="0"/>
        <w:widowControl w:val="0"/>
        <w:suppressLineNumbers w:val="0"/>
        <w:spacing w:before="0" w:beforeAutospacing="0" w:after="0" w:afterAutospacing="0" w:line="560" w:lineRule="exact"/>
        <w:ind w:left="0" w:right="0" w:firstLine="640" w:firstLineChars="200"/>
        <w:jc w:val="both"/>
        <w:rPr>
          <w:rStyle w:val="11"/>
          <w:rFonts w:hint="eastAsia"/>
          <w:lang w:val="en-US" w:eastAsia="zh-CN"/>
        </w:rPr>
      </w:pP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第一条</w:t>
      </w:r>
      <w:r>
        <w:rPr>
          <w:rFonts w:hint="eastAsia" w:ascii="仿宋" w:hAnsi="仿宋" w:eastAsia="仿宋" w:cs="仿宋"/>
          <w:kern w:val="2"/>
          <w:sz w:val="32"/>
          <w:szCs w:val="32"/>
          <w:lang w:val="en-US" w:eastAsia="zh-CN" w:bidi="ar"/>
        </w:rPr>
        <w:t xml:space="preserve">  为了促进科学技术进步，发挥科学技术第一生产力的作用，促进科学技术成果向现实生产力转化，推动经济建设和社会发展，实施科教兴市战略，建设创新型城市，根据《中华人民共和国科学技术进步法》和有关法律、法规，结合本市实际，制定本条例。</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第二条</w:t>
      </w:r>
      <w:r>
        <w:rPr>
          <w:rFonts w:hint="eastAsia" w:ascii="仿宋" w:hAnsi="仿宋" w:eastAsia="仿宋" w:cs="仿宋"/>
          <w:kern w:val="2"/>
          <w:sz w:val="32"/>
          <w:szCs w:val="32"/>
          <w:lang w:val="en-US" w:eastAsia="zh-CN" w:bidi="ar"/>
        </w:rPr>
        <w:t xml:space="preserve">  本市行政区域内从事科学研究、技术开发、科学技术成果的推广应用以及相关的服务和行政管理活动，适用本条例。</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第三条</w:t>
      </w:r>
      <w:r>
        <w:rPr>
          <w:rFonts w:hint="eastAsia" w:ascii="仿宋" w:hAnsi="仿宋" w:eastAsia="仿宋" w:cs="仿宋"/>
          <w:kern w:val="2"/>
          <w:sz w:val="32"/>
          <w:szCs w:val="32"/>
          <w:lang w:val="en-US" w:eastAsia="zh-CN" w:bidi="ar"/>
        </w:rPr>
        <w:t xml:space="preserve">  本市科学技术进步工作坚持科学发展观，面向经济建设和社会发展，实行自主创新、重点跨越、支撑发展、引领未来的指导方针，鼓励科学技术研究开发，推动应用科学技术改造传统产业，推进农业科学技术进步，发展高新技术产业和社会事业。</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第四条</w:t>
      </w:r>
      <w:r>
        <w:rPr>
          <w:rFonts w:hint="eastAsia" w:ascii="仿宋" w:hAnsi="仿宋" w:eastAsia="仿宋" w:cs="仿宋"/>
          <w:kern w:val="2"/>
          <w:sz w:val="32"/>
          <w:szCs w:val="32"/>
          <w:lang w:val="en-US" w:eastAsia="zh-CN" w:bidi="ar"/>
        </w:rPr>
        <w:t xml:space="preserve">  市人民政府领导全市科学技术进步工作。</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县（市）区人民政府应当根据全市的科学技术进步发展规划，结合本辖区经济建设和社会发展实际，推进科学技术进步。</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市科学技术行政部门负责全市科学技术进步工作的综合管理和统筹协调。县（市）区科学技术行政部门负责本辖区的科学技术进步工作。</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市、县（市）区其他有关部门在各自的职责范围内，负责做好科学技术进步工作。</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第五条</w:t>
      </w:r>
      <w:r>
        <w:rPr>
          <w:rFonts w:hint="eastAsia" w:ascii="仿宋" w:hAnsi="仿宋" w:eastAsia="仿宋" w:cs="仿宋"/>
          <w:kern w:val="2"/>
          <w:sz w:val="32"/>
          <w:szCs w:val="32"/>
          <w:lang w:val="en-US" w:eastAsia="zh-CN" w:bidi="ar"/>
        </w:rPr>
        <w:t xml:space="preserve">  全社会应当尊重知识，尊重人才，尊重科学技术人员的创造性劳动。</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市、县（市）区人民政府应当保障科学技术研究开发的自由，保护科学技术人员的合法权益。</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市、县（市）区人民政府应当鼓励科学探索和技术开发，重点支持自主创新及科学技术成果的转化和推广应用。鼓励机关、企业事业组织、社会团体和公民参与和支持科学技术进步活动。</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市、县（市）区人民政府应当开展科学技术普及工作，普及科学技术知识，提高公民的科学文化素质。</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第六条 </w:t>
      </w:r>
      <w:r>
        <w:rPr>
          <w:rFonts w:hint="eastAsia" w:ascii="仿宋" w:hAnsi="仿宋" w:eastAsia="仿宋" w:cs="仿宋"/>
          <w:kern w:val="2"/>
          <w:sz w:val="32"/>
          <w:szCs w:val="32"/>
          <w:lang w:val="en-US" w:eastAsia="zh-CN" w:bidi="ar"/>
        </w:rPr>
        <w:t xml:space="preserve"> 市、县（市）区人民政府应当营造尊重知识产权的社会环境，依法保护知识产权，激励自主创新。</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企业事业组织和科学技术人员应当增强知识产权意识，增强自主创新能力，提高运用、保护和管理知识产权的能力。</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第七条 </w:t>
      </w:r>
      <w:r>
        <w:rPr>
          <w:rFonts w:hint="eastAsia" w:ascii="仿宋" w:hAnsi="仿宋" w:eastAsia="仿宋" w:cs="仿宋"/>
          <w:kern w:val="2"/>
          <w:sz w:val="32"/>
          <w:szCs w:val="32"/>
          <w:lang w:val="en-US" w:eastAsia="zh-CN" w:bidi="ar"/>
        </w:rPr>
        <w:t xml:space="preserve"> 市、县（市）区人民政府及其有关部门应当加大财政性资金投入，落实国家税收、金融政策，制定和实施与区域经济建设、社会发展相适应的产业、政府采购等政策，鼓励和引导社会资金投入，推动全市科学技术研究开发经费持续稳定增长。</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第八条 </w:t>
      </w:r>
      <w:r>
        <w:rPr>
          <w:rFonts w:hint="eastAsia" w:ascii="仿宋" w:hAnsi="仿宋" w:eastAsia="仿宋" w:cs="仿宋"/>
          <w:kern w:val="2"/>
          <w:sz w:val="32"/>
          <w:szCs w:val="32"/>
          <w:lang w:val="en-US" w:eastAsia="zh-CN" w:bidi="ar"/>
        </w:rPr>
        <w:t xml:space="preserve"> 市人民政府建立科学技术奖励制度，对在科学技术进步活动中做出重要贡献的组织和个人给予奖励。</w:t>
      </w:r>
    </w:p>
    <w:p>
      <w:pPr>
        <w:pStyle w:val="2"/>
        <w:rPr>
          <w:rFonts w:hint="eastAsia"/>
          <w:lang w:val="en-US" w:eastAsia="zh-CN"/>
        </w:rPr>
      </w:pPr>
      <w:bookmarkStart w:id="1" w:name="_Toc2498"/>
    </w:p>
    <w:p>
      <w:pPr>
        <w:pStyle w:val="2"/>
        <w:rPr>
          <w:rFonts w:hint="eastAsia"/>
          <w:lang w:val="en-US"/>
        </w:rPr>
      </w:pPr>
      <w:r>
        <w:rPr>
          <w:rFonts w:hint="eastAsia"/>
          <w:lang w:val="en-US" w:eastAsia="zh-CN"/>
        </w:rPr>
        <w:t>第二章  科学研究、技术开发与科学技术推广应用</w:t>
      </w:r>
      <w:bookmarkEnd w:id="1"/>
    </w:p>
    <w:p>
      <w:pPr>
        <w:keepNext w:val="0"/>
        <w:keepLines w:val="0"/>
        <w:widowControl w:val="0"/>
        <w:suppressLineNumbers w:val="0"/>
        <w:spacing w:before="0" w:beforeAutospacing="0" w:after="0" w:afterAutospacing="0" w:line="560" w:lineRule="exact"/>
        <w:ind w:left="0" w:right="0" w:firstLine="640" w:firstLineChars="200"/>
        <w:jc w:val="both"/>
        <w:rPr>
          <w:rStyle w:val="11"/>
          <w:rFonts w:hint="eastAsia"/>
          <w:lang w:val="en-US" w:eastAsia="zh-CN"/>
        </w:rPr>
      </w:pP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第九条</w:t>
      </w:r>
      <w:r>
        <w:rPr>
          <w:rFonts w:hint="eastAsia" w:ascii="仿宋" w:hAnsi="仿宋" w:eastAsia="仿宋" w:cs="仿宋"/>
          <w:kern w:val="2"/>
          <w:sz w:val="32"/>
          <w:szCs w:val="32"/>
          <w:lang w:val="en-US" w:eastAsia="zh-CN" w:bidi="ar"/>
        </w:rPr>
        <w:t xml:space="preserve">  科学技术进步工作应当围绕本市重点产业和战略性新兴产业等领域，组织开展科学研究、技术开发、关键技术攻关与科学技术应用活动，加快自主创新技术和产品的推广应用，带动产业结构调整和发展方式转变。</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第十条</w:t>
      </w:r>
      <w:r>
        <w:rPr>
          <w:rFonts w:hint="eastAsia" w:ascii="仿宋" w:hAnsi="仿宋" w:eastAsia="仿宋" w:cs="仿宋"/>
          <w:kern w:val="2"/>
          <w:sz w:val="32"/>
          <w:szCs w:val="32"/>
          <w:lang w:val="en-US" w:eastAsia="zh-CN" w:bidi="ar"/>
        </w:rPr>
        <w:t xml:space="preserve">  市、县（市）区人民政府及其科技行政部门应当组织科学技术研究开发机构、高等学校、科学技术社会团体和企业事业组织、科学技术人员对本市经济建设和社会发展中的重大共性科学技术问题开展科技攻关，实施重大科技专项工程，解决经济发展中的重大技术问题。</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第十一条</w:t>
      </w:r>
      <w:r>
        <w:rPr>
          <w:rFonts w:hint="eastAsia" w:ascii="仿宋" w:hAnsi="仿宋" w:eastAsia="仿宋" w:cs="仿宋"/>
          <w:kern w:val="2"/>
          <w:sz w:val="32"/>
          <w:szCs w:val="32"/>
          <w:lang w:val="en-US" w:eastAsia="zh-CN" w:bidi="ar"/>
        </w:rPr>
        <w:t xml:space="preserve">  市、县（市）区人民政府应当支持高新技术的研究、应用，为高新技术成果转化创造良好条件，用高新技术改造传统产业。市人民政府应当支持国家高新技术产业开发区和其他重点工业科技园区、特色产业基地建设。</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第十二条 </w:t>
      </w:r>
      <w:r>
        <w:rPr>
          <w:rFonts w:hint="eastAsia" w:ascii="仿宋" w:hAnsi="仿宋" w:eastAsia="仿宋" w:cs="仿宋"/>
          <w:kern w:val="2"/>
          <w:sz w:val="32"/>
          <w:szCs w:val="32"/>
          <w:lang w:val="en-US" w:eastAsia="zh-CN" w:bidi="ar"/>
        </w:rPr>
        <w:t xml:space="preserve"> 市、县（市）区人民政府应当鼓励和引导高新技术企业建立符合国际规范的管理制度，生产符合国际标准的高新技术产品，参与国际市场竞争，推进高新技术产业的国际化。</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第十三条</w:t>
      </w:r>
      <w:r>
        <w:rPr>
          <w:rFonts w:hint="eastAsia" w:ascii="仿宋" w:hAnsi="仿宋" w:eastAsia="仿宋" w:cs="仿宋"/>
          <w:kern w:val="2"/>
          <w:sz w:val="32"/>
          <w:szCs w:val="32"/>
          <w:lang w:val="en-US" w:eastAsia="zh-CN" w:bidi="ar"/>
        </w:rPr>
        <w:t xml:space="preserve">  市人民政府应当开展市级高新技术企业的认定工作，并予以必要的扶持。</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市、县（市）区人民政府应当引导、鼓励和组织符合条件的企业申报国家级高新技术企业，并保障相关优惠政策的落实。</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第十四条</w:t>
      </w:r>
      <w:r>
        <w:rPr>
          <w:rFonts w:hint="eastAsia" w:ascii="仿宋" w:hAnsi="仿宋" w:eastAsia="仿宋" w:cs="仿宋"/>
          <w:kern w:val="2"/>
          <w:sz w:val="32"/>
          <w:szCs w:val="32"/>
          <w:lang w:val="en-US" w:eastAsia="zh-CN" w:bidi="ar"/>
        </w:rPr>
        <w:t xml:space="preserve">  市、县（市）区人民政府及其有关部门应当鼓励企业事业组织、社会团体和公民从事技术开发、技术转让、技术咨询、技术服务及其他科学研究与科学技术应用活动。</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第十五条 </w:t>
      </w:r>
      <w:r>
        <w:rPr>
          <w:rFonts w:hint="eastAsia" w:ascii="仿宋" w:hAnsi="仿宋" w:eastAsia="仿宋" w:cs="仿宋"/>
          <w:kern w:val="2"/>
          <w:sz w:val="32"/>
          <w:szCs w:val="32"/>
          <w:lang w:val="en-US" w:eastAsia="zh-CN" w:bidi="ar"/>
        </w:rPr>
        <w:t xml:space="preserve"> 市、县（市）区人民政府应当鼓励、支持技术交易活动，引导、促进技术市场发展。建立健全科学技术交易服务体系，推动科学技术成果产业化。</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第十六条</w:t>
      </w:r>
      <w:r>
        <w:rPr>
          <w:rFonts w:hint="eastAsia" w:ascii="仿宋" w:hAnsi="仿宋" w:eastAsia="仿宋" w:cs="仿宋"/>
          <w:kern w:val="2"/>
          <w:sz w:val="32"/>
          <w:szCs w:val="32"/>
          <w:lang w:val="en-US" w:eastAsia="zh-CN" w:bidi="ar"/>
        </w:rPr>
        <w:t xml:space="preserve">  市、县（市）区人民政府及其有关部门应当根据产业政策和地方经济发展需要，建设公共科技服务平台。</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鼓励高等学校、科学技术研究开发机构和企业参与公共科技服务平台建设。</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第十七条</w:t>
      </w:r>
      <w:r>
        <w:rPr>
          <w:rFonts w:hint="eastAsia" w:ascii="仿宋" w:hAnsi="仿宋" w:eastAsia="仿宋" w:cs="仿宋"/>
          <w:kern w:val="2"/>
          <w:sz w:val="32"/>
          <w:szCs w:val="32"/>
          <w:lang w:val="en-US" w:eastAsia="zh-CN" w:bidi="ar"/>
        </w:rPr>
        <w:t xml:space="preserve">  市、县（市）区人民政府建立促进科技与金融结合的扶持机制，通过引导、激励、风险分担等方式鼓励金融资源向科技创新领域集聚，鼓励和支持金融机构开发适合科技型企业需要的金融产品和金融服务。</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第十八条 </w:t>
      </w:r>
      <w:r>
        <w:rPr>
          <w:rFonts w:hint="eastAsia" w:ascii="仿宋" w:hAnsi="仿宋" w:eastAsia="仿宋" w:cs="仿宋"/>
          <w:kern w:val="2"/>
          <w:sz w:val="32"/>
          <w:szCs w:val="32"/>
          <w:lang w:val="en-US" w:eastAsia="zh-CN" w:bidi="ar"/>
        </w:rPr>
        <w:t xml:space="preserve"> 市、县（市）区人民政府建立自主创新产品和服务认定制度，定期公布自主创新产品目录，提高政府采购中自主创新产品和服务的比重。</w:t>
      </w:r>
    </w:p>
    <w:p>
      <w:pPr>
        <w:pStyle w:val="2"/>
        <w:rPr>
          <w:rFonts w:hint="eastAsia"/>
          <w:lang w:val="en-US" w:eastAsia="zh-CN"/>
        </w:rPr>
      </w:pPr>
      <w:bookmarkStart w:id="2" w:name="_Toc25500"/>
    </w:p>
    <w:p>
      <w:pPr>
        <w:pStyle w:val="2"/>
        <w:rPr>
          <w:rFonts w:hint="eastAsia"/>
          <w:lang w:val="en-US"/>
        </w:rPr>
      </w:pPr>
      <w:r>
        <w:rPr>
          <w:rFonts w:hint="eastAsia"/>
          <w:lang w:val="en-US" w:eastAsia="zh-CN"/>
        </w:rPr>
        <w:t>第三章  企业技术进步</w:t>
      </w:r>
      <w:bookmarkEnd w:id="2"/>
    </w:p>
    <w:p>
      <w:pPr>
        <w:keepNext w:val="0"/>
        <w:keepLines w:val="0"/>
        <w:widowControl w:val="0"/>
        <w:suppressLineNumbers w:val="0"/>
        <w:spacing w:before="0" w:beforeAutospacing="0" w:after="0" w:afterAutospacing="0" w:line="560" w:lineRule="exact"/>
        <w:ind w:left="0" w:right="0" w:firstLine="640" w:firstLineChars="200"/>
        <w:jc w:val="both"/>
        <w:rPr>
          <w:rStyle w:val="11"/>
          <w:rFonts w:hint="eastAsia"/>
          <w:lang w:val="en-US" w:eastAsia="zh-CN"/>
        </w:rPr>
      </w:pP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第十九条</w:t>
      </w:r>
      <w:r>
        <w:rPr>
          <w:rFonts w:hint="eastAsia" w:ascii="仿宋" w:hAnsi="仿宋" w:eastAsia="仿宋" w:cs="仿宋"/>
          <w:kern w:val="2"/>
          <w:sz w:val="32"/>
          <w:szCs w:val="32"/>
          <w:lang w:val="en-US" w:eastAsia="zh-CN" w:bidi="ar"/>
        </w:rPr>
        <w:t xml:space="preserve">  市、县（市）区人民政府应当引导和支持企业、高等学校和科研院所之间加强产、学、研合作，建立以企业为主体、市场为导向、产学研紧密结合的科学技术创新体系。</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鼓励企业同国内外其他企业或者高等学校、科研院所等科研机构建立产业技术创新战略联盟。</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第二十条</w:t>
      </w:r>
      <w:r>
        <w:rPr>
          <w:rFonts w:hint="eastAsia" w:ascii="仿宋" w:hAnsi="仿宋" w:eastAsia="仿宋" w:cs="仿宋"/>
          <w:kern w:val="2"/>
          <w:sz w:val="32"/>
          <w:szCs w:val="32"/>
          <w:lang w:val="en-US" w:eastAsia="zh-CN" w:bidi="ar"/>
        </w:rPr>
        <w:t xml:space="preserve">  市、县（市）区人民政府应当鼓励企业研究开发自主知识产权产品，培育科技名牌产品，发挥企业在技术创新中的主体作用。</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第二十一条</w:t>
      </w:r>
      <w:r>
        <w:rPr>
          <w:rFonts w:hint="eastAsia" w:ascii="仿宋" w:hAnsi="仿宋" w:eastAsia="仿宋" w:cs="仿宋"/>
          <w:kern w:val="2"/>
          <w:sz w:val="32"/>
          <w:szCs w:val="32"/>
          <w:lang w:val="en-US" w:eastAsia="zh-CN" w:bidi="ar"/>
        </w:rPr>
        <w:t xml:space="preserve">  市人民政府通过设立专利申报补助资金等方式鼓励本市单位、个人申报国内外专利，支持企业单位制定实施知识产权战略。</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市人民政府通过设立资助专利技术产业化项目等方式鼓励专利技术的实施。</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第二十二条</w:t>
      </w:r>
      <w:r>
        <w:rPr>
          <w:rFonts w:hint="eastAsia" w:ascii="仿宋" w:hAnsi="仿宋" w:eastAsia="仿宋" w:cs="仿宋"/>
          <w:kern w:val="2"/>
          <w:sz w:val="32"/>
          <w:szCs w:val="32"/>
          <w:lang w:val="en-US" w:eastAsia="zh-CN" w:bidi="ar"/>
        </w:rPr>
        <w:t xml:space="preserve">  鼓励企业参与行业标准、国家标准、国际标准的制定，对在行业标准、国家标准、国际标准制定中起主导作用的企业，由市、县（市）区人民政府给予奖励，具体奖励标准由市人民政府另行制定。</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第二十三条  </w:t>
      </w:r>
      <w:r>
        <w:rPr>
          <w:rFonts w:hint="eastAsia" w:ascii="仿宋" w:hAnsi="仿宋" w:eastAsia="仿宋" w:cs="仿宋"/>
          <w:kern w:val="2"/>
          <w:sz w:val="32"/>
          <w:szCs w:val="32"/>
          <w:lang w:val="en-US" w:eastAsia="zh-CN" w:bidi="ar"/>
        </w:rPr>
        <w:t>鼓励企业增加研究开发和技术创新的投入，就本市重点产业开展国际科技合作，以多种方式引进有利于提升产业核心竞争力的专利和技术，对引进的技术进行消化、吸收和再创新。</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第二十四条 </w:t>
      </w:r>
      <w:r>
        <w:rPr>
          <w:rFonts w:hint="eastAsia" w:ascii="仿宋" w:hAnsi="仿宋" w:eastAsia="仿宋" w:cs="仿宋"/>
          <w:kern w:val="2"/>
          <w:sz w:val="32"/>
          <w:szCs w:val="32"/>
          <w:lang w:val="en-US" w:eastAsia="zh-CN" w:bidi="ar"/>
        </w:rPr>
        <w:t xml:space="preserve"> 国有企业应当建立健全技术创新制度和有利于技术创新的分配制度，完善技术创新的激励约束机制。</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国有企业负责人对企业的技术进步负责。市、县（市）区人民政府应当将企业的创新投入、创新能力建设、创新成效等情况，纳入对国有企业负责人的业绩考核范围。</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第二十五条</w:t>
      </w:r>
      <w:r>
        <w:rPr>
          <w:rFonts w:hint="eastAsia" w:ascii="仿宋" w:hAnsi="仿宋" w:eastAsia="仿宋" w:cs="仿宋"/>
          <w:kern w:val="2"/>
          <w:sz w:val="32"/>
          <w:szCs w:val="32"/>
          <w:lang w:val="en-US" w:eastAsia="zh-CN" w:bidi="ar"/>
        </w:rPr>
        <w:t xml:space="preserve">  市、县（市）区人民政府、各工业园区应当对国家和省已批准的战略性新兴产业基地，建立专项资金给予支持，支持企业重点和重大项目产业化。</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第二十六条</w:t>
      </w:r>
      <w:r>
        <w:rPr>
          <w:rFonts w:hint="eastAsia" w:ascii="仿宋" w:hAnsi="仿宋" w:eastAsia="仿宋" w:cs="仿宋"/>
          <w:kern w:val="2"/>
          <w:sz w:val="32"/>
          <w:szCs w:val="32"/>
          <w:lang w:val="en-US" w:eastAsia="zh-CN" w:bidi="ar"/>
        </w:rPr>
        <w:t xml:space="preserve">  鼓励企业重视人才培训工作，制定人才培训规划和继续教育规划，建立职工岗位技术培训制度，提高职工的科学文化素质和生产技术水平。</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鼓励企业与科学技术研究开发机构、高等学校、职业院校或者培训机构联合建立实习、实训基地，培养专业技术人才和高技能型人才，共建博士后工作站和博士后科研基地。</w:t>
      </w:r>
    </w:p>
    <w:p>
      <w:pPr>
        <w:pStyle w:val="2"/>
        <w:rPr>
          <w:rFonts w:hint="eastAsia"/>
          <w:lang w:val="en-US" w:eastAsia="zh-CN"/>
        </w:rPr>
      </w:pPr>
      <w:bookmarkStart w:id="3" w:name="_Toc16961"/>
    </w:p>
    <w:p>
      <w:pPr>
        <w:pStyle w:val="2"/>
        <w:rPr>
          <w:rFonts w:hint="eastAsia"/>
          <w:lang w:val="en-US"/>
        </w:rPr>
      </w:pPr>
      <w:r>
        <w:rPr>
          <w:rFonts w:hint="eastAsia"/>
          <w:lang w:val="en-US" w:eastAsia="zh-CN"/>
        </w:rPr>
        <w:t>第四章  农业技术进步</w:t>
      </w:r>
      <w:bookmarkEnd w:id="3"/>
    </w:p>
    <w:p>
      <w:pPr>
        <w:keepNext w:val="0"/>
        <w:keepLines w:val="0"/>
        <w:widowControl w:val="0"/>
        <w:suppressLineNumbers w:val="0"/>
        <w:spacing w:before="0" w:beforeAutospacing="0" w:after="0" w:afterAutospacing="0" w:line="560" w:lineRule="exact"/>
        <w:ind w:left="0" w:right="0" w:firstLine="640" w:firstLineChars="200"/>
        <w:jc w:val="both"/>
        <w:rPr>
          <w:rStyle w:val="11"/>
          <w:rFonts w:hint="eastAsia"/>
          <w:lang w:val="en-US" w:eastAsia="zh-CN"/>
        </w:rPr>
      </w:pP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第二十七条</w:t>
      </w:r>
      <w:r>
        <w:rPr>
          <w:rFonts w:hint="eastAsia" w:ascii="仿宋" w:hAnsi="仿宋" w:eastAsia="仿宋" w:cs="仿宋"/>
          <w:kern w:val="2"/>
          <w:sz w:val="32"/>
          <w:szCs w:val="32"/>
          <w:lang w:val="en-US" w:eastAsia="zh-CN" w:bidi="ar"/>
        </w:rPr>
        <w:t xml:space="preserve">  市、县（市）区人民政府及其有关部门应当加快对传统农业的改造和农业科技园区的建设，优化农业结构，发展设施农业规模生产技术，发展高产、优质、高效的现代农业。</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鼓励和支持县（市）区依靠科技发展特色农业主导产业。</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加强对农业新品种、新技术、新装备研究开发、引进的管理和扶持，促进农业科学技术成果的转化、推广和应用。</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第二十八条</w:t>
      </w:r>
      <w:r>
        <w:rPr>
          <w:rFonts w:hint="eastAsia" w:ascii="仿宋" w:hAnsi="仿宋" w:eastAsia="仿宋" w:cs="仿宋"/>
          <w:kern w:val="2"/>
          <w:sz w:val="32"/>
          <w:szCs w:val="32"/>
          <w:lang w:val="en-US" w:eastAsia="zh-CN" w:bidi="ar"/>
        </w:rPr>
        <w:t xml:space="preserve">  开展科学技术扶贫，鼓励、引导科学技术资源和科学技术人员向贫困地区流动，并提供必要的生活和科研条件。</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第二十九条 </w:t>
      </w:r>
      <w:r>
        <w:rPr>
          <w:rFonts w:hint="eastAsia" w:ascii="仿宋" w:hAnsi="仿宋" w:eastAsia="仿宋" w:cs="仿宋"/>
          <w:kern w:val="2"/>
          <w:sz w:val="32"/>
          <w:szCs w:val="32"/>
          <w:lang w:val="en-US" w:eastAsia="zh-CN" w:bidi="ar"/>
        </w:rPr>
        <w:t xml:space="preserve"> 县（市）和管辖农村的城区、乡（镇）人民政府应当建立健全农业科学技术推广机构，推行科技副乡（镇）长和农业科技特派员制度，配备农业技术人员，落实农业技术推广经费，稳定基层农业科学技术推广队伍，健全农业科学技术服务网络，加强对农业生产的综合技术服务。</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第三十条 </w:t>
      </w:r>
      <w:r>
        <w:rPr>
          <w:rFonts w:hint="eastAsia" w:ascii="仿宋" w:hAnsi="仿宋" w:eastAsia="仿宋" w:cs="仿宋"/>
          <w:kern w:val="2"/>
          <w:sz w:val="32"/>
          <w:szCs w:val="32"/>
          <w:lang w:val="en-US" w:eastAsia="zh-CN" w:bidi="ar"/>
        </w:rPr>
        <w:t xml:space="preserve"> 市人民政府应当支持国家农业科技园区及其他重点农业科技园区的建设发展，发挥其在本市农业科技园区中的引领、示范、聚集和辐射作用。</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第三十一条  </w:t>
      </w:r>
      <w:r>
        <w:rPr>
          <w:rFonts w:hint="eastAsia" w:ascii="仿宋" w:hAnsi="仿宋" w:eastAsia="仿宋" w:cs="仿宋"/>
          <w:kern w:val="2"/>
          <w:sz w:val="32"/>
          <w:szCs w:val="32"/>
          <w:lang w:val="en-US" w:eastAsia="zh-CN" w:bidi="ar"/>
        </w:rPr>
        <w:t>市、县（市）和管辖农村的城区人民政府及其有关部门应当建立健全农村科学技术培训体系，加强对从事种植、养殖业等生产人员的科学技术培训，发展生产技术队伍，培养实用人才。</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第三十二条</w:t>
      </w:r>
      <w:r>
        <w:rPr>
          <w:rFonts w:hint="eastAsia" w:ascii="仿宋" w:hAnsi="仿宋" w:eastAsia="仿宋" w:cs="仿宋"/>
          <w:kern w:val="2"/>
          <w:sz w:val="32"/>
          <w:szCs w:val="32"/>
          <w:lang w:val="en-US" w:eastAsia="zh-CN" w:bidi="ar"/>
        </w:rPr>
        <w:t xml:space="preserve">  鼓励和支持科学技术研究开发机构、高等学校的科研工作为发展农村经济服务。鼓励科学技术研究开发机构、高等学校深入农村建立农业科技示范工程，实行各种形式的区域性综合技术开发，开展农业技术培训，推广农业科学技术成果，传播普及农业科学知识。</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第三十三条</w:t>
      </w:r>
      <w:r>
        <w:rPr>
          <w:rFonts w:hint="eastAsia" w:ascii="仿宋" w:hAnsi="仿宋" w:eastAsia="仿宋" w:cs="仿宋"/>
          <w:kern w:val="2"/>
          <w:sz w:val="32"/>
          <w:szCs w:val="32"/>
          <w:lang w:val="en-US" w:eastAsia="zh-CN" w:bidi="ar"/>
        </w:rPr>
        <w:t xml:space="preserve">  鼓励和支持农业科学技术研究开发机构，围绕本地区农业的重大课题进行研究，允许农业科学技术研究开发机构销售自己培育并经审定的优良品种。</w:t>
      </w:r>
    </w:p>
    <w:p>
      <w:pPr>
        <w:pStyle w:val="2"/>
        <w:rPr>
          <w:rFonts w:hint="eastAsia"/>
          <w:lang w:val="en-US" w:eastAsia="zh-CN"/>
        </w:rPr>
      </w:pPr>
      <w:bookmarkStart w:id="4" w:name="_Toc18727"/>
    </w:p>
    <w:p>
      <w:pPr>
        <w:pStyle w:val="2"/>
        <w:rPr>
          <w:rFonts w:hint="eastAsia"/>
          <w:lang w:val="en-US"/>
        </w:rPr>
      </w:pPr>
      <w:r>
        <w:rPr>
          <w:rFonts w:hint="eastAsia"/>
          <w:lang w:val="en-US" w:eastAsia="zh-CN"/>
        </w:rPr>
        <w:t>第五章  科学技术研究开发机构与科学技术人员</w:t>
      </w:r>
      <w:bookmarkEnd w:id="4"/>
    </w:p>
    <w:p>
      <w:pPr>
        <w:keepNext w:val="0"/>
        <w:keepLines w:val="0"/>
        <w:widowControl w:val="0"/>
        <w:suppressLineNumbers w:val="0"/>
        <w:spacing w:before="0" w:beforeAutospacing="0" w:after="0" w:afterAutospacing="0" w:line="560" w:lineRule="exact"/>
        <w:ind w:left="0" w:right="0" w:firstLine="640" w:firstLineChars="200"/>
        <w:jc w:val="both"/>
        <w:rPr>
          <w:rStyle w:val="11"/>
          <w:rFonts w:hint="eastAsia"/>
          <w:lang w:val="en-US" w:eastAsia="zh-CN"/>
        </w:rPr>
      </w:pP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第三十四条</w:t>
      </w:r>
      <w:r>
        <w:rPr>
          <w:rFonts w:hint="eastAsia" w:ascii="仿宋" w:hAnsi="仿宋" w:eastAsia="仿宋" w:cs="仿宋"/>
          <w:kern w:val="2"/>
          <w:sz w:val="32"/>
          <w:szCs w:val="32"/>
          <w:lang w:val="en-US" w:eastAsia="zh-CN" w:bidi="ar"/>
        </w:rPr>
        <w:t xml:space="preserve">  市、县（市）区人民政府应当根据城市创新和发展需要，统筹规划科学技术研究开发和中介服务机构的布局，建立和完善科学技术研究开发和中介服务体系。</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第三十五条</w:t>
      </w:r>
      <w:r>
        <w:rPr>
          <w:rFonts w:hint="eastAsia" w:ascii="仿宋" w:hAnsi="仿宋" w:eastAsia="仿宋" w:cs="仿宋"/>
          <w:kern w:val="2"/>
          <w:sz w:val="32"/>
          <w:szCs w:val="32"/>
          <w:lang w:val="en-US" w:eastAsia="zh-CN" w:bidi="ar"/>
        </w:rPr>
        <w:t xml:space="preserve">  市、县（市）区人民政府应当鼓励和支持高等学校、科学技术研究开发机构根据经济建设和社会发展需求，面向企业开展科学研究、技术开发与科学技术应用活动，促进科学技术成果向企业转移。</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第三十六条</w:t>
      </w:r>
      <w:r>
        <w:rPr>
          <w:rFonts w:hint="eastAsia" w:ascii="仿宋" w:hAnsi="仿宋" w:eastAsia="仿宋" w:cs="仿宋"/>
          <w:kern w:val="2"/>
          <w:sz w:val="32"/>
          <w:szCs w:val="32"/>
          <w:lang w:val="en-US" w:eastAsia="zh-CN" w:bidi="ar"/>
        </w:rPr>
        <w:t xml:space="preserve">  市、县（市）区人民政府和企业事业组织应当采取措施，提高科学技术人员的社会地位和工资、福利待遇，创造有利的环境和条件，充分发挥科学技术人员的作用。</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第三十七条</w:t>
      </w:r>
      <w:r>
        <w:rPr>
          <w:rFonts w:hint="eastAsia" w:ascii="仿宋" w:hAnsi="仿宋" w:eastAsia="仿宋" w:cs="仿宋"/>
          <w:kern w:val="2"/>
          <w:sz w:val="32"/>
          <w:szCs w:val="32"/>
          <w:lang w:val="en-US" w:eastAsia="zh-CN" w:bidi="ar"/>
        </w:rPr>
        <w:t xml:space="preserve">  市、县（市）区人民政府和企业事业组织应当为科学技术人员的合理流动创造环境和条件，发挥其专长。</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第三十八条 </w:t>
      </w:r>
      <w:r>
        <w:rPr>
          <w:rFonts w:hint="eastAsia" w:ascii="仿宋" w:hAnsi="仿宋" w:eastAsia="仿宋" w:cs="仿宋"/>
          <w:kern w:val="2"/>
          <w:sz w:val="32"/>
          <w:szCs w:val="32"/>
          <w:lang w:val="en-US" w:eastAsia="zh-CN" w:bidi="ar"/>
        </w:rPr>
        <w:t xml:space="preserve"> 市、县（市）区人民政府应当鼓励引进海内外掌握核心技术、具有自主知识产权或者拥有高成长性项目的高层次创新人才。有关部门和用人单位应当为高层次创新人才提供良好的工作、生活条件，并对其从事科学技术研究开发的项目给予优先扶持。</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第三十九条</w:t>
      </w:r>
      <w:r>
        <w:rPr>
          <w:rFonts w:hint="eastAsia" w:ascii="仿宋" w:hAnsi="仿宋" w:eastAsia="仿宋" w:cs="仿宋"/>
          <w:kern w:val="2"/>
          <w:sz w:val="32"/>
          <w:szCs w:val="32"/>
          <w:lang w:val="en-US" w:eastAsia="zh-CN" w:bidi="ar"/>
        </w:rPr>
        <w:t xml:space="preserve">  市、县（市）区人民政府应当将组织或者个人获得的专利等自主知识产权方面的业绩，作为科学技术奖励、科学技术立项、科学技术成果评定以及科学技术人员职称评定的重要条件。</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第四十条</w:t>
      </w:r>
      <w:r>
        <w:rPr>
          <w:rFonts w:hint="eastAsia" w:ascii="仿宋" w:hAnsi="仿宋" w:eastAsia="仿宋" w:cs="仿宋"/>
          <w:kern w:val="2"/>
          <w:sz w:val="32"/>
          <w:szCs w:val="32"/>
          <w:lang w:val="en-US" w:eastAsia="zh-CN" w:bidi="ar"/>
        </w:rPr>
        <w:t xml:space="preserve">  科学技术研究开发机构、高等学校、企业事业组织应当重视选拔中青年科学技术带头人和技术骨干。对有突出贡献的中青年科学技术人员应当按照有关规定，破格晋升技术职称。</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第四十一条</w:t>
      </w:r>
      <w:r>
        <w:rPr>
          <w:rFonts w:hint="eastAsia" w:ascii="仿宋" w:hAnsi="仿宋" w:eastAsia="仿宋" w:cs="仿宋"/>
          <w:kern w:val="2"/>
          <w:sz w:val="32"/>
          <w:szCs w:val="32"/>
          <w:lang w:val="en-US" w:eastAsia="zh-CN" w:bidi="ar"/>
        </w:rPr>
        <w:t xml:space="preserve">  科学技术研究开发机构、高等学校、企业事业组织应当重视科学技术人员的继续教育，支持科学技术人员接受在职教育。</w:t>
      </w:r>
    </w:p>
    <w:p>
      <w:pPr>
        <w:pStyle w:val="2"/>
        <w:rPr>
          <w:rFonts w:hint="eastAsia"/>
          <w:lang w:val="en-US" w:eastAsia="zh-CN"/>
        </w:rPr>
      </w:pPr>
      <w:bookmarkStart w:id="5" w:name="_Toc21921"/>
    </w:p>
    <w:p>
      <w:pPr>
        <w:pStyle w:val="2"/>
        <w:rPr>
          <w:rFonts w:hint="eastAsia"/>
          <w:lang w:val="en-US"/>
        </w:rPr>
      </w:pPr>
      <w:r>
        <w:rPr>
          <w:rFonts w:hint="eastAsia"/>
          <w:lang w:val="en-US" w:eastAsia="zh-CN"/>
        </w:rPr>
        <w:t>第六章  保障措施</w:t>
      </w:r>
      <w:bookmarkEnd w:id="5"/>
    </w:p>
    <w:p>
      <w:pPr>
        <w:keepNext w:val="0"/>
        <w:keepLines w:val="0"/>
        <w:widowControl w:val="0"/>
        <w:suppressLineNumbers w:val="0"/>
        <w:spacing w:before="0" w:beforeAutospacing="0" w:after="0" w:afterAutospacing="0" w:line="560" w:lineRule="exact"/>
        <w:ind w:left="0" w:right="0" w:firstLine="640" w:firstLineChars="200"/>
        <w:jc w:val="both"/>
        <w:rPr>
          <w:rStyle w:val="11"/>
          <w:rFonts w:hint="eastAsia"/>
          <w:lang w:val="en-US" w:eastAsia="zh-CN"/>
        </w:rPr>
      </w:pP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第四十二条 </w:t>
      </w:r>
      <w:r>
        <w:rPr>
          <w:rFonts w:hint="eastAsia" w:ascii="仿宋" w:hAnsi="仿宋" w:eastAsia="仿宋" w:cs="仿宋"/>
          <w:kern w:val="2"/>
          <w:sz w:val="32"/>
          <w:szCs w:val="32"/>
          <w:lang w:val="en-US" w:eastAsia="zh-CN" w:bidi="ar"/>
        </w:rPr>
        <w:t xml:space="preserve"> 市、县（市）区人民政府应当通过多种途径增加对科学技术进步的资金投入，建立以政府投入为引导，以企业投入、市场融资、外资引进等多渠道社会投入为主体的科学技术经费投入体制。</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第四十三条 </w:t>
      </w:r>
      <w:r>
        <w:rPr>
          <w:rFonts w:hint="eastAsia" w:ascii="仿宋" w:hAnsi="仿宋" w:eastAsia="仿宋" w:cs="仿宋"/>
          <w:kern w:val="2"/>
          <w:sz w:val="32"/>
          <w:szCs w:val="32"/>
          <w:lang w:val="en-US" w:eastAsia="zh-CN" w:bidi="ar"/>
        </w:rPr>
        <w:t xml:space="preserve"> 市、县（市）区财政用于科技经费的增长幅度应当高于财政经常性收入的增长幅度。市财政年度支出预算科技专项资金不得低于年度预算支出的2％，县（市）区不得低于年度预算支出的1％。</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第四十四条 </w:t>
      </w:r>
      <w:r>
        <w:rPr>
          <w:rFonts w:hint="eastAsia" w:ascii="仿宋" w:hAnsi="仿宋" w:eastAsia="仿宋" w:cs="仿宋"/>
          <w:kern w:val="2"/>
          <w:sz w:val="32"/>
          <w:szCs w:val="32"/>
          <w:lang w:val="en-US" w:eastAsia="zh-CN" w:bidi="ar"/>
        </w:rPr>
        <w:t xml:space="preserve"> 市科技专项资金是政府财政预算安排的引导性资金，应当主要用于下列事项的投入：</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（一）对实现国家战略、保障安全、促进本市重点产业和战略性新兴产业发展具有重要作用的科学技术研究开发；</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（二）为在本市实施的国家“863”项目、国家工程技术研究中心等国家级和省级重大科学技术项目提供配套支持；</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（三）为从事公益性研究的科学技术研究开发机构提供运行保障；</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（四）支持建设科学技术基础设施、购置科学技术仪器设备以及建设完善创业孵化服务和研发公共服务平台，开展科技创新活动；</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（五）支持科学技术成果和专利的应用转化、关键技术攻关产业化、产学研联盟、国际科技合作、海外学子创业、社会事业、软科学研究和科技型中小企业的技术创新活动；</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（六）支持农业新品种、新技术的研究开发及推广应用；</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（七）支持科学技术基础研究和科学技术人才培养；</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（八）支持科学技术普及；</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（九）对符合条件的科技项目予以扶持；</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（十）其他与国家、省和本市经济社会发展相关的科学技术进步工作。</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县（市）区科技专项资金的使用方向，依据市科技专项资金的投入，结合本地区实际情况确定。</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第四十五条</w:t>
      </w:r>
      <w:r>
        <w:rPr>
          <w:rFonts w:hint="eastAsia" w:ascii="仿宋" w:hAnsi="仿宋" w:eastAsia="仿宋" w:cs="仿宋"/>
          <w:kern w:val="2"/>
          <w:sz w:val="32"/>
          <w:szCs w:val="32"/>
          <w:lang w:val="en-US" w:eastAsia="zh-CN" w:bidi="ar"/>
        </w:rPr>
        <w:t xml:space="preserve">  科学技术行政部门负责制定科技专项资金的使用方向，确定科技计划项目，实施项目管理。项目管理经费从科技专项资金中按一定比例提取。</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科学技术行政部门应当履行下列职责：</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（一）制定项目资金的申请、管理、监督办法，并通过政府网站予以公布；</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（二）通过政府网站公布项目申请资格条件、重点支持的方向和领域等信息；</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（三）组织专家评审，实行终审委员会制度；</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（四）通过政府网站公布项目立项结果和项目承担者；</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（五）实施项目执行中的全过程管理和项目执行后的验收。</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法律、法规规定科学技术研究项目应当保密的，按照其规定执行。</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第四十六条</w:t>
      </w:r>
      <w:r>
        <w:rPr>
          <w:rFonts w:hint="eastAsia" w:ascii="仿宋" w:hAnsi="仿宋" w:eastAsia="仿宋" w:cs="仿宋"/>
          <w:kern w:val="2"/>
          <w:sz w:val="32"/>
          <w:szCs w:val="32"/>
          <w:lang w:val="en-US" w:eastAsia="zh-CN" w:bidi="ar"/>
        </w:rPr>
        <w:t xml:space="preserve">  审计机关、财政部门应当依法对科技专项资金的管理和使用情况进行监督检查。任何组织或者个人不得虚报、冒领、贪污、挪用、截留科技专项资金。</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第四十七条</w:t>
      </w:r>
      <w:r>
        <w:rPr>
          <w:rFonts w:hint="eastAsia" w:ascii="仿宋" w:hAnsi="仿宋" w:eastAsia="仿宋" w:cs="仿宋"/>
          <w:kern w:val="2"/>
          <w:sz w:val="32"/>
          <w:szCs w:val="32"/>
          <w:lang w:val="en-US" w:eastAsia="zh-CN" w:bidi="ar"/>
        </w:rPr>
        <w:t xml:space="preserve">  鼓励创业投资引导基金通过参股创业投资企业、为创业投资企业提供融资担保等方式，引导社会资金投向创业投资企业，重点扶持科技型中小企业和高新技术产业领域的创业发展。</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第四十八条</w:t>
      </w:r>
      <w:r>
        <w:rPr>
          <w:rFonts w:hint="eastAsia" w:ascii="仿宋" w:hAnsi="仿宋" w:eastAsia="仿宋" w:cs="仿宋"/>
          <w:kern w:val="2"/>
          <w:sz w:val="32"/>
          <w:szCs w:val="32"/>
          <w:lang w:val="en-US" w:eastAsia="zh-CN" w:bidi="ar"/>
        </w:rPr>
        <w:t xml:space="preserve">  从事技术开发、技术转让、技术咨询、技术服务活动的，按照国家规定享受税收优惠。</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企业开发新技术、新产品、新工艺发生的研究开发费用可以按照国家有关规定，税前列支并加计扣除。</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第四十九条</w:t>
      </w:r>
      <w:r>
        <w:rPr>
          <w:rFonts w:hint="eastAsia" w:ascii="仿宋" w:hAnsi="仿宋" w:eastAsia="仿宋" w:cs="仿宋"/>
          <w:kern w:val="2"/>
          <w:sz w:val="32"/>
          <w:szCs w:val="32"/>
          <w:lang w:val="en-US" w:eastAsia="zh-CN" w:bidi="ar"/>
        </w:rPr>
        <w:t xml:space="preserve">  市、县（市）区人民政府应当建立健全科学技术资源信息研究、统计和管理体系，加强科学技术信息交流，建立现代化的科学技术信息网络，实现信息资源共享。</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第五十条</w:t>
      </w:r>
      <w:r>
        <w:rPr>
          <w:rFonts w:hint="eastAsia" w:ascii="仿宋" w:hAnsi="仿宋" w:eastAsia="仿宋" w:cs="仿宋"/>
          <w:kern w:val="2"/>
          <w:sz w:val="32"/>
          <w:szCs w:val="32"/>
          <w:lang w:val="en-US" w:eastAsia="zh-CN" w:bidi="ar"/>
        </w:rPr>
        <w:t xml:space="preserve">  市人民政府对县（市）区人民政府的科学技术进步工作情况实行目标责任制考核。目标责任制考核的结果，作为对县（市）区人民政府领导实行奖惩的重要依据之一。</w:t>
      </w:r>
    </w:p>
    <w:p>
      <w:pPr>
        <w:pStyle w:val="2"/>
        <w:rPr>
          <w:rFonts w:hint="eastAsia"/>
          <w:lang w:val="en-US" w:eastAsia="zh-CN"/>
        </w:rPr>
      </w:pPr>
      <w:bookmarkStart w:id="6" w:name="_Toc28575"/>
    </w:p>
    <w:p>
      <w:pPr>
        <w:pStyle w:val="2"/>
        <w:rPr>
          <w:rFonts w:hint="eastAsia"/>
          <w:lang w:val="en-US"/>
        </w:rPr>
      </w:pPr>
      <w:r>
        <w:rPr>
          <w:rFonts w:hint="eastAsia"/>
          <w:lang w:val="en-US" w:eastAsia="zh-CN"/>
        </w:rPr>
        <w:t>第七章  法律责任</w:t>
      </w:r>
      <w:bookmarkEnd w:id="6"/>
    </w:p>
    <w:p>
      <w:pPr>
        <w:keepNext w:val="0"/>
        <w:keepLines w:val="0"/>
        <w:widowControl w:val="0"/>
        <w:suppressLineNumbers w:val="0"/>
        <w:spacing w:before="0" w:beforeAutospacing="0" w:after="0" w:afterAutospacing="0" w:line="560" w:lineRule="exact"/>
        <w:ind w:left="0" w:right="0" w:firstLine="640" w:firstLineChars="200"/>
        <w:jc w:val="both"/>
        <w:rPr>
          <w:rStyle w:val="11"/>
          <w:rFonts w:hint="eastAsia"/>
          <w:lang w:val="en-US" w:eastAsia="zh-CN"/>
        </w:rPr>
      </w:pP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第五十一条</w:t>
      </w:r>
      <w:r>
        <w:rPr>
          <w:rFonts w:hint="eastAsia" w:ascii="仿宋" w:hAnsi="仿宋" w:eastAsia="仿宋" w:cs="仿宋"/>
          <w:kern w:val="2"/>
          <w:sz w:val="32"/>
          <w:szCs w:val="32"/>
          <w:lang w:val="en-US" w:eastAsia="zh-CN" w:bidi="ar"/>
        </w:rPr>
        <w:t xml:space="preserve">  科学技术行政部门及其有关工作人员违反本条例规定，贪污、挪用、</w:t>
      </w:r>
      <w:bookmarkStart w:id="8" w:name="_GoBack"/>
      <w:bookmarkEnd w:id="8"/>
      <w:r>
        <w:rPr>
          <w:rFonts w:hint="eastAsia" w:ascii="仿宋" w:hAnsi="仿宋" w:eastAsia="仿宋" w:cs="仿宋"/>
          <w:kern w:val="2"/>
          <w:sz w:val="32"/>
          <w:szCs w:val="32"/>
          <w:lang w:val="en-US" w:eastAsia="zh-CN" w:bidi="ar"/>
        </w:rPr>
        <w:t>截留科技专项资金的，以及有其他滥用职权、玩忽职守、徇私舞弊行为的，对直接负责的主管人员和其他直接责任人员依法给予行政处分；构成犯罪的，依法追究刑事责任。</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第五十二条</w:t>
      </w:r>
      <w:r>
        <w:rPr>
          <w:rFonts w:hint="eastAsia" w:ascii="仿宋" w:hAnsi="仿宋" w:eastAsia="仿宋" w:cs="仿宋"/>
          <w:kern w:val="2"/>
          <w:sz w:val="32"/>
          <w:szCs w:val="32"/>
          <w:lang w:val="en-US" w:eastAsia="zh-CN" w:bidi="ar"/>
        </w:rPr>
        <w:t xml:space="preserve">  科学技术人员有下列行为之一的，除依法承担法律责任外，取消直接责任人员申报科学技术项目和科学技术奖励资格：</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（一）采用欺骗手段获取科学技术项目或者科学技术奖励的；</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（二）采用剽窃、篡改、假冒等方式侵害他人专利权、著作权和其他科学技术成果，或者在科学技术活动中弄虚作假的；</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（三）泄露国家科学技术秘密的；</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（四）违反法律、法规规定的其他行为。</w:t>
      </w:r>
    </w:p>
    <w:p>
      <w:pPr>
        <w:pStyle w:val="2"/>
        <w:rPr>
          <w:rFonts w:hint="eastAsia"/>
          <w:lang w:val="en-US" w:eastAsia="zh-CN"/>
        </w:rPr>
      </w:pPr>
      <w:bookmarkStart w:id="7" w:name="_Toc14993"/>
    </w:p>
    <w:p>
      <w:pPr>
        <w:pStyle w:val="2"/>
        <w:rPr>
          <w:rFonts w:hint="eastAsia"/>
          <w:lang w:val="en-US"/>
        </w:rPr>
      </w:pPr>
      <w:r>
        <w:rPr>
          <w:rFonts w:hint="eastAsia"/>
          <w:lang w:val="en-US" w:eastAsia="zh-CN"/>
        </w:rPr>
        <w:t>第八章  附    则</w:t>
      </w:r>
      <w:bookmarkEnd w:id="7"/>
    </w:p>
    <w:p>
      <w:pPr>
        <w:keepNext w:val="0"/>
        <w:keepLines w:val="0"/>
        <w:widowControl w:val="0"/>
        <w:suppressLineNumbers w:val="0"/>
        <w:spacing w:before="0" w:beforeAutospacing="0" w:after="0" w:afterAutospacing="0" w:line="560" w:lineRule="exact"/>
        <w:ind w:left="0" w:right="0" w:firstLine="640" w:firstLineChars="200"/>
        <w:jc w:val="both"/>
        <w:rPr>
          <w:rStyle w:val="11"/>
          <w:rFonts w:hint="eastAsia"/>
          <w:lang w:val="en-US" w:eastAsia="zh-CN"/>
        </w:rPr>
      </w:pP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第五十三条</w:t>
      </w:r>
      <w:r>
        <w:rPr>
          <w:rFonts w:hint="eastAsia" w:ascii="仿宋" w:hAnsi="仿宋" w:eastAsia="仿宋" w:cs="仿宋"/>
          <w:kern w:val="2"/>
          <w:sz w:val="32"/>
          <w:szCs w:val="32"/>
          <w:lang w:val="en-US" w:eastAsia="zh-CN" w:bidi="ar"/>
        </w:rPr>
        <w:t xml:space="preserve">  本条例自2012年7月1日起施行。1994年1月14日鞍山市第十一届人民代表大会常务委员会第八次会议通过的《鞍山市科学技术进步条例》同时废止。</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 w:hAnsi="仿宋" w:eastAsia="仿宋" w:cs="仿宋"/>
          <w:sz w:val="32"/>
          <w:szCs w:val="32"/>
        </w:rPr>
      </w:pPr>
    </w:p>
    <w:p>
      <w:pPr>
        <w:spacing w:line="560" w:lineRule="exact"/>
        <w:rPr>
          <w:rFonts w:hint="eastAsia" w:ascii="仿宋" w:hAnsi="仿宋" w:eastAsia="仿宋" w:cs="仿宋"/>
          <w:sz w:val="32"/>
          <w:szCs w:val="32"/>
        </w:rPr>
      </w:pPr>
    </w:p>
    <w:sectPr>
      <w:footerReference r:id="rId3" w:type="default"/>
      <w:pgSz w:w="11906" w:h="16838"/>
      <w:pgMar w:top="2041" w:right="1531" w:bottom="2041" w:left="1531" w:header="851" w:footer="992" w:gutter="0"/>
      <w:pgNumType w:fmt="decimal"/>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4002EFF" w:usb1="C000247B" w:usb2="00000009" w:usb3="00000000" w:csb0="200001FF" w:csb1="0000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Arial">
    <w:panose1 w:val="020B0604020202020204"/>
    <w:charset w:val="00"/>
    <w:family w:val="decorative"/>
    <w:pitch w:val="default"/>
    <w:sig w:usb0="E0002EFF" w:usb1="C000785B" w:usb2="00000009" w:usb3="00000000" w:csb0="400001FF" w:csb1="FFFF0000"/>
  </w:font>
  <w:font w:name="楷体">
    <w:panose1 w:val="02010609060101010101"/>
    <w:charset w:val="86"/>
    <w:family w:val="swiss"/>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5"/>
                            <w:keepNext w:val="0"/>
                            <w:keepLines w:val="0"/>
                            <w:pageBreakBefore w:val="0"/>
                            <w:widowControl w:val="0"/>
                            <w:kinsoku/>
                            <w:wordWrap/>
                            <w:overflowPunct/>
                            <w:topLinePunct w:val="0"/>
                            <w:autoSpaceDE/>
                            <w:autoSpaceDN/>
                            <w:bidi w:val="0"/>
                            <w:adjustRightInd/>
                            <w:snapToGrid w:val="0"/>
                            <w:spacing w:line="240" w:lineRule="auto"/>
                            <w:ind w:left="420" w:leftChars="200" w:right="420" w:rightChars="200" w:firstLine="0" w:firstLineChars="0"/>
                            <w:jc w:val="left"/>
                            <w:textAlignment w:val="auto"/>
                            <w:outlineLvl w:val="9"/>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C+AKSxgEAAGsDAAAOAAAAAAAAAAEAIAAAAB4BAABkcnMvZTJvRG9jLnht&#10;bFBLBQYAAAAABgAGAFkBAABWBQAAAAA=&#10;">
              <v:fill on="f" focussize="0,0"/>
              <v:stroke on="f"/>
              <v:imagedata o:title=""/>
              <o:lock v:ext="edit" aspectratio="f"/>
              <v:textbox inset="0mm,0mm,0mm,0mm" style="mso-fit-shape-to-text:t;">
                <w:txbxContent>
                  <w:p>
                    <w:pPr>
                      <w:pStyle w:val="5"/>
                      <w:keepNext w:val="0"/>
                      <w:keepLines w:val="0"/>
                      <w:pageBreakBefore w:val="0"/>
                      <w:widowControl w:val="0"/>
                      <w:kinsoku/>
                      <w:wordWrap/>
                      <w:overflowPunct/>
                      <w:topLinePunct w:val="0"/>
                      <w:autoSpaceDE/>
                      <w:autoSpaceDN/>
                      <w:bidi w:val="0"/>
                      <w:adjustRightInd/>
                      <w:snapToGrid w:val="0"/>
                      <w:spacing w:line="240" w:lineRule="auto"/>
                      <w:ind w:left="420" w:leftChars="200" w:right="420" w:rightChars="200" w:firstLine="0" w:firstLineChars="0"/>
                      <w:jc w:val="left"/>
                      <w:textAlignment w:val="auto"/>
                      <w:outlineLvl w:val="9"/>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hyphenationZone w:val="36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9F1"/>
    <w:rsid w:val="000002D8"/>
    <w:rsid w:val="00003585"/>
    <w:rsid w:val="00014686"/>
    <w:rsid w:val="00017797"/>
    <w:rsid w:val="00021DF8"/>
    <w:rsid w:val="000241CB"/>
    <w:rsid w:val="000319B6"/>
    <w:rsid w:val="0003441F"/>
    <w:rsid w:val="00034F3F"/>
    <w:rsid w:val="00037460"/>
    <w:rsid w:val="000409F9"/>
    <w:rsid w:val="000411AE"/>
    <w:rsid w:val="00043D9D"/>
    <w:rsid w:val="000451A6"/>
    <w:rsid w:val="0006663B"/>
    <w:rsid w:val="00067781"/>
    <w:rsid w:val="000767A4"/>
    <w:rsid w:val="0008038C"/>
    <w:rsid w:val="00081D57"/>
    <w:rsid w:val="00096C3C"/>
    <w:rsid w:val="00097351"/>
    <w:rsid w:val="000A36BE"/>
    <w:rsid w:val="000A39E9"/>
    <w:rsid w:val="000A49E3"/>
    <w:rsid w:val="000B20F8"/>
    <w:rsid w:val="000B3E78"/>
    <w:rsid w:val="000C4386"/>
    <w:rsid w:val="000D0728"/>
    <w:rsid w:val="000E162C"/>
    <w:rsid w:val="000E4177"/>
    <w:rsid w:val="000E4D6B"/>
    <w:rsid w:val="000E5A7C"/>
    <w:rsid w:val="000E5BC1"/>
    <w:rsid w:val="000F1BAC"/>
    <w:rsid w:val="00116AA4"/>
    <w:rsid w:val="001211DC"/>
    <w:rsid w:val="00130DC4"/>
    <w:rsid w:val="00131750"/>
    <w:rsid w:val="00132CC4"/>
    <w:rsid w:val="00146C89"/>
    <w:rsid w:val="00163B9E"/>
    <w:rsid w:val="00170682"/>
    <w:rsid w:val="00174D6D"/>
    <w:rsid w:val="0017688F"/>
    <w:rsid w:val="00180E34"/>
    <w:rsid w:val="00181A71"/>
    <w:rsid w:val="001826E2"/>
    <w:rsid w:val="00182F23"/>
    <w:rsid w:val="00183BC2"/>
    <w:rsid w:val="0018607A"/>
    <w:rsid w:val="001860E2"/>
    <w:rsid w:val="00191109"/>
    <w:rsid w:val="001A1B82"/>
    <w:rsid w:val="001B1310"/>
    <w:rsid w:val="001B41EF"/>
    <w:rsid w:val="001B5072"/>
    <w:rsid w:val="001D2140"/>
    <w:rsid w:val="001D3D9F"/>
    <w:rsid w:val="001E1C7F"/>
    <w:rsid w:val="001E2E60"/>
    <w:rsid w:val="001E3E9D"/>
    <w:rsid w:val="001F63ED"/>
    <w:rsid w:val="001F6B51"/>
    <w:rsid w:val="00200C01"/>
    <w:rsid w:val="00207536"/>
    <w:rsid w:val="00210D4E"/>
    <w:rsid w:val="00214AE7"/>
    <w:rsid w:val="002215BD"/>
    <w:rsid w:val="002243E6"/>
    <w:rsid w:val="002273E6"/>
    <w:rsid w:val="00240A0E"/>
    <w:rsid w:val="00243187"/>
    <w:rsid w:val="00247D0F"/>
    <w:rsid w:val="00250924"/>
    <w:rsid w:val="00256DE8"/>
    <w:rsid w:val="00261EBF"/>
    <w:rsid w:val="00266008"/>
    <w:rsid w:val="00267B07"/>
    <w:rsid w:val="00271AF6"/>
    <w:rsid w:val="0027367C"/>
    <w:rsid w:val="00274174"/>
    <w:rsid w:val="002754A6"/>
    <w:rsid w:val="00284182"/>
    <w:rsid w:val="002876E2"/>
    <w:rsid w:val="002950C0"/>
    <w:rsid w:val="002A0D09"/>
    <w:rsid w:val="002A398C"/>
    <w:rsid w:val="002B1E13"/>
    <w:rsid w:val="002B5861"/>
    <w:rsid w:val="002B5923"/>
    <w:rsid w:val="002B799C"/>
    <w:rsid w:val="002C247C"/>
    <w:rsid w:val="002C362A"/>
    <w:rsid w:val="002C3B62"/>
    <w:rsid w:val="002C5480"/>
    <w:rsid w:val="002D3DFE"/>
    <w:rsid w:val="002D6BAC"/>
    <w:rsid w:val="002E392C"/>
    <w:rsid w:val="002F7680"/>
    <w:rsid w:val="00304566"/>
    <w:rsid w:val="00312076"/>
    <w:rsid w:val="00326C74"/>
    <w:rsid w:val="00327A18"/>
    <w:rsid w:val="00327A47"/>
    <w:rsid w:val="0033275F"/>
    <w:rsid w:val="00337156"/>
    <w:rsid w:val="00340214"/>
    <w:rsid w:val="003431C5"/>
    <w:rsid w:val="00350DA4"/>
    <w:rsid w:val="00353F50"/>
    <w:rsid w:val="00362CB4"/>
    <w:rsid w:val="00364676"/>
    <w:rsid w:val="00366821"/>
    <w:rsid w:val="00371134"/>
    <w:rsid w:val="003756D2"/>
    <w:rsid w:val="00382E6A"/>
    <w:rsid w:val="003965BE"/>
    <w:rsid w:val="003A1FF8"/>
    <w:rsid w:val="003A2536"/>
    <w:rsid w:val="003B0608"/>
    <w:rsid w:val="003B40AB"/>
    <w:rsid w:val="003C3E89"/>
    <w:rsid w:val="003C532C"/>
    <w:rsid w:val="003C72CC"/>
    <w:rsid w:val="003D349A"/>
    <w:rsid w:val="003E5F17"/>
    <w:rsid w:val="003F2DD0"/>
    <w:rsid w:val="003F6F15"/>
    <w:rsid w:val="003F6F4A"/>
    <w:rsid w:val="003F71B0"/>
    <w:rsid w:val="0040585B"/>
    <w:rsid w:val="00405984"/>
    <w:rsid w:val="004069F1"/>
    <w:rsid w:val="00410795"/>
    <w:rsid w:val="00412F3C"/>
    <w:rsid w:val="0041372F"/>
    <w:rsid w:val="00414950"/>
    <w:rsid w:val="00416A66"/>
    <w:rsid w:val="00417439"/>
    <w:rsid w:val="00420F37"/>
    <w:rsid w:val="00432475"/>
    <w:rsid w:val="004328B4"/>
    <w:rsid w:val="004345CF"/>
    <w:rsid w:val="00442E9B"/>
    <w:rsid w:val="00443EC0"/>
    <w:rsid w:val="0045572F"/>
    <w:rsid w:val="00460176"/>
    <w:rsid w:val="0046156A"/>
    <w:rsid w:val="004642C8"/>
    <w:rsid w:val="004644EB"/>
    <w:rsid w:val="0046611B"/>
    <w:rsid w:val="00471974"/>
    <w:rsid w:val="00474CC8"/>
    <w:rsid w:val="00474F61"/>
    <w:rsid w:val="0047564B"/>
    <w:rsid w:val="00492166"/>
    <w:rsid w:val="004A0B4D"/>
    <w:rsid w:val="004A2ADE"/>
    <w:rsid w:val="004A2E60"/>
    <w:rsid w:val="004C0AAB"/>
    <w:rsid w:val="004C1A59"/>
    <w:rsid w:val="004D08E1"/>
    <w:rsid w:val="004D65E7"/>
    <w:rsid w:val="004D75EC"/>
    <w:rsid w:val="004D7BE9"/>
    <w:rsid w:val="004E03C9"/>
    <w:rsid w:val="004E65CE"/>
    <w:rsid w:val="004F0BDD"/>
    <w:rsid w:val="004F1256"/>
    <w:rsid w:val="004F1E6E"/>
    <w:rsid w:val="00506236"/>
    <w:rsid w:val="00521102"/>
    <w:rsid w:val="005257E0"/>
    <w:rsid w:val="00526322"/>
    <w:rsid w:val="00527027"/>
    <w:rsid w:val="005352B0"/>
    <w:rsid w:val="005360EF"/>
    <w:rsid w:val="005363E6"/>
    <w:rsid w:val="00536DD1"/>
    <w:rsid w:val="00537634"/>
    <w:rsid w:val="00541C00"/>
    <w:rsid w:val="00553418"/>
    <w:rsid w:val="00557421"/>
    <w:rsid w:val="00557E32"/>
    <w:rsid w:val="00560E04"/>
    <w:rsid w:val="005616B1"/>
    <w:rsid w:val="00562591"/>
    <w:rsid w:val="00563D88"/>
    <w:rsid w:val="005649F7"/>
    <w:rsid w:val="00572740"/>
    <w:rsid w:val="00572FB7"/>
    <w:rsid w:val="0057385F"/>
    <w:rsid w:val="00577B99"/>
    <w:rsid w:val="00581F64"/>
    <w:rsid w:val="00582BDE"/>
    <w:rsid w:val="00585DFC"/>
    <w:rsid w:val="00587815"/>
    <w:rsid w:val="00591662"/>
    <w:rsid w:val="00592FF6"/>
    <w:rsid w:val="00596668"/>
    <w:rsid w:val="00596FF3"/>
    <w:rsid w:val="0059721D"/>
    <w:rsid w:val="005A22F0"/>
    <w:rsid w:val="005A6F73"/>
    <w:rsid w:val="005B1434"/>
    <w:rsid w:val="005C275B"/>
    <w:rsid w:val="005C59EB"/>
    <w:rsid w:val="005C5DB0"/>
    <w:rsid w:val="005E3B7D"/>
    <w:rsid w:val="005E3DD0"/>
    <w:rsid w:val="005E41F4"/>
    <w:rsid w:val="005E6F75"/>
    <w:rsid w:val="005E7868"/>
    <w:rsid w:val="005F56C9"/>
    <w:rsid w:val="006001B7"/>
    <w:rsid w:val="00607D48"/>
    <w:rsid w:val="006146B0"/>
    <w:rsid w:val="0061493E"/>
    <w:rsid w:val="006208A7"/>
    <w:rsid w:val="0062641A"/>
    <w:rsid w:val="006372B4"/>
    <w:rsid w:val="00644ADF"/>
    <w:rsid w:val="006538FF"/>
    <w:rsid w:val="00655881"/>
    <w:rsid w:val="00660F70"/>
    <w:rsid w:val="00676A27"/>
    <w:rsid w:val="00676F56"/>
    <w:rsid w:val="006772E5"/>
    <w:rsid w:val="006775DE"/>
    <w:rsid w:val="00683051"/>
    <w:rsid w:val="00687405"/>
    <w:rsid w:val="00693734"/>
    <w:rsid w:val="00694290"/>
    <w:rsid w:val="0069641F"/>
    <w:rsid w:val="006978BC"/>
    <w:rsid w:val="006A1623"/>
    <w:rsid w:val="006A3C68"/>
    <w:rsid w:val="006A45AF"/>
    <w:rsid w:val="006A75E5"/>
    <w:rsid w:val="006A7F99"/>
    <w:rsid w:val="006B1D16"/>
    <w:rsid w:val="006C02DC"/>
    <w:rsid w:val="006D1CA8"/>
    <w:rsid w:val="006E00E3"/>
    <w:rsid w:val="006F0E1D"/>
    <w:rsid w:val="006F1086"/>
    <w:rsid w:val="006F4E9E"/>
    <w:rsid w:val="006F5DDE"/>
    <w:rsid w:val="00702AD3"/>
    <w:rsid w:val="00711AA4"/>
    <w:rsid w:val="0072258B"/>
    <w:rsid w:val="0072330F"/>
    <w:rsid w:val="00725F31"/>
    <w:rsid w:val="00732733"/>
    <w:rsid w:val="00740AE6"/>
    <w:rsid w:val="007439DF"/>
    <w:rsid w:val="007478D6"/>
    <w:rsid w:val="0075742D"/>
    <w:rsid w:val="00761406"/>
    <w:rsid w:val="0076169B"/>
    <w:rsid w:val="00761887"/>
    <w:rsid w:val="00765C25"/>
    <w:rsid w:val="00776DA8"/>
    <w:rsid w:val="00777305"/>
    <w:rsid w:val="0077750A"/>
    <w:rsid w:val="007920AC"/>
    <w:rsid w:val="00792552"/>
    <w:rsid w:val="007A2022"/>
    <w:rsid w:val="007A49E9"/>
    <w:rsid w:val="007A5128"/>
    <w:rsid w:val="007C1CF8"/>
    <w:rsid w:val="007C2081"/>
    <w:rsid w:val="007C3D07"/>
    <w:rsid w:val="007D6448"/>
    <w:rsid w:val="007D712A"/>
    <w:rsid w:val="007E64F5"/>
    <w:rsid w:val="007F20EF"/>
    <w:rsid w:val="00803108"/>
    <w:rsid w:val="00803BDE"/>
    <w:rsid w:val="00816502"/>
    <w:rsid w:val="00817962"/>
    <w:rsid w:val="00825D44"/>
    <w:rsid w:val="00830818"/>
    <w:rsid w:val="008310B4"/>
    <w:rsid w:val="008339BE"/>
    <w:rsid w:val="00846FB8"/>
    <w:rsid w:val="008473FE"/>
    <w:rsid w:val="008579CB"/>
    <w:rsid w:val="00861EDE"/>
    <w:rsid w:val="00864268"/>
    <w:rsid w:val="0087026B"/>
    <w:rsid w:val="00871CA1"/>
    <w:rsid w:val="00875A35"/>
    <w:rsid w:val="00876AF7"/>
    <w:rsid w:val="0088360F"/>
    <w:rsid w:val="008A0D16"/>
    <w:rsid w:val="008A1024"/>
    <w:rsid w:val="008A265E"/>
    <w:rsid w:val="008A4BD8"/>
    <w:rsid w:val="008A664C"/>
    <w:rsid w:val="008B74EE"/>
    <w:rsid w:val="008C0EC3"/>
    <w:rsid w:val="008D044B"/>
    <w:rsid w:val="008D1B7C"/>
    <w:rsid w:val="008D6F7B"/>
    <w:rsid w:val="008E38C8"/>
    <w:rsid w:val="008E3D93"/>
    <w:rsid w:val="008F60DA"/>
    <w:rsid w:val="00900A78"/>
    <w:rsid w:val="00906850"/>
    <w:rsid w:val="009168B7"/>
    <w:rsid w:val="009266FF"/>
    <w:rsid w:val="009374B3"/>
    <w:rsid w:val="009378E2"/>
    <w:rsid w:val="0095247F"/>
    <w:rsid w:val="009569F4"/>
    <w:rsid w:val="00966E17"/>
    <w:rsid w:val="009719DA"/>
    <w:rsid w:val="00971BDC"/>
    <w:rsid w:val="00971F9C"/>
    <w:rsid w:val="009750E9"/>
    <w:rsid w:val="00990335"/>
    <w:rsid w:val="009A0161"/>
    <w:rsid w:val="009A1D37"/>
    <w:rsid w:val="009A2BD8"/>
    <w:rsid w:val="009A7719"/>
    <w:rsid w:val="009B26BB"/>
    <w:rsid w:val="009B3F12"/>
    <w:rsid w:val="009B54D3"/>
    <w:rsid w:val="009B7C45"/>
    <w:rsid w:val="009C328D"/>
    <w:rsid w:val="009C703F"/>
    <w:rsid w:val="009C799B"/>
    <w:rsid w:val="009D0839"/>
    <w:rsid w:val="009D1FC0"/>
    <w:rsid w:val="009E0C13"/>
    <w:rsid w:val="009F7B4C"/>
    <w:rsid w:val="00A015DC"/>
    <w:rsid w:val="00A0194D"/>
    <w:rsid w:val="00A02C44"/>
    <w:rsid w:val="00A079A9"/>
    <w:rsid w:val="00A145A0"/>
    <w:rsid w:val="00A15439"/>
    <w:rsid w:val="00A17CB4"/>
    <w:rsid w:val="00A204EC"/>
    <w:rsid w:val="00A22E7A"/>
    <w:rsid w:val="00A25754"/>
    <w:rsid w:val="00A3165B"/>
    <w:rsid w:val="00A3214D"/>
    <w:rsid w:val="00A4039F"/>
    <w:rsid w:val="00A40CA6"/>
    <w:rsid w:val="00A532C6"/>
    <w:rsid w:val="00A57A47"/>
    <w:rsid w:val="00A602E2"/>
    <w:rsid w:val="00A604CF"/>
    <w:rsid w:val="00A63D5C"/>
    <w:rsid w:val="00A659AB"/>
    <w:rsid w:val="00A71DA0"/>
    <w:rsid w:val="00A73A4D"/>
    <w:rsid w:val="00A761BE"/>
    <w:rsid w:val="00A80290"/>
    <w:rsid w:val="00A83E30"/>
    <w:rsid w:val="00A8570F"/>
    <w:rsid w:val="00AA01F8"/>
    <w:rsid w:val="00AA37DF"/>
    <w:rsid w:val="00AB37E2"/>
    <w:rsid w:val="00AD4F92"/>
    <w:rsid w:val="00AD7254"/>
    <w:rsid w:val="00AE0ADF"/>
    <w:rsid w:val="00AE5864"/>
    <w:rsid w:val="00B11B25"/>
    <w:rsid w:val="00B222FD"/>
    <w:rsid w:val="00B223DD"/>
    <w:rsid w:val="00B24C42"/>
    <w:rsid w:val="00B27EBB"/>
    <w:rsid w:val="00B35704"/>
    <w:rsid w:val="00B4789A"/>
    <w:rsid w:val="00B514E3"/>
    <w:rsid w:val="00B53AB2"/>
    <w:rsid w:val="00B576FF"/>
    <w:rsid w:val="00B85EFC"/>
    <w:rsid w:val="00B92697"/>
    <w:rsid w:val="00B94120"/>
    <w:rsid w:val="00BA0925"/>
    <w:rsid w:val="00BA68A2"/>
    <w:rsid w:val="00BB188D"/>
    <w:rsid w:val="00BB3D50"/>
    <w:rsid w:val="00BB6114"/>
    <w:rsid w:val="00BC3D7C"/>
    <w:rsid w:val="00BC417E"/>
    <w:rsid w:val="00BC6D93"/>
    <w:rsid w:val="00BD2A1E"/>
    <w:rsid w:val="00BD46EE"/>
    <w:rsid w:val="00BD5FEA"/>
    <w:rsid w:val="00BE28B1"/>
    <w:rsid w:val="00BE2D71"/>
    <w:rsid w:val="00BF0CB3"/>
    <w:rsid w:val="00BF2E6E"/>
    <w:rsid w:val="00BF4F51"/>
    <w:rsid w:val="00BF585F"/>
    <w:rsid w:val="00BF7127"/>
    <w:rsid w:val="00C064F9"/>
    <w:rsid w:val="00C078B4"/>
    <w:rsid w:val="00C114BC"/>
    <w:rsid w:val="00C143CB"/>
    <w:rsid w:val="00C25A63"/>
    <w:rsid w:val="00C267BB"/>
    <w:rsid w:val="00C26F09"/>
    <w:rsid w:val="00C30A29"/>
    <w:rsid w:val="00C30AA6"/>
    <w:rsid w:val="00C350C7"/>
    <w:rsid w:val="00C35A70"/>
    <w:rsid w:val="00C4036B"/>
    <w:rsid w:val="00C428BC"/>
    <w:rsid w:val="00C4314E"/>
    <w:rsid w:val="00C5609A"/>
    <w:rsid w:val="00C60007"/>
    <w:rsid w:val="00C62538"/>
    <w:rsid w:val="00C63D0C"/>
    <w:rsid w:val="00C63EBE"/>
    <w:rsid w:val="00C67D04"/>
    <w:rsid w:val="00C7039D"/>
    <w:rsid w:val="00C74C5B"/>
    <w:rsid w:val="00C83FC1"/>
    <w:rsid w:val="00C851BA"/>
    <w:rsid w:val="00C93C8A"/>
    <w:rsid w:val="00CA1837"/>
    <w:rsid w:val="00CA7DE8"/>
    <w:rsid w:val="00CB4BCF"/>
    <w:rsid w:val="00CB55FD"/>
    <w:rsid w:val="00CD5299"/>
    <w:rsid w:val="00CE16E8"/>
    <w:rsid w:val="00CE2903"/>
    <w:rsid w:val="00CF5924"/>
    <w:rsid w:val="00D20445"/>
    <w:rsid w:val="00D207B3"/>
    <w:rsid w:val="00D227DF"/>
    <w:rsid w:val="00D325EB"/>
    <w:rsid w:val="00D409EB"/>
    <w:rsid w:val="00D41AAA"/>
    <w:rsid w:val="00D423B4"/>
    <w:rsid w:val="00D43ABD"/>
    <w:rsid w:val="00D43FA1"/>
    <w:rsid w:val="00D47F46"/>
    <w:rsid w:val="00D641B4"/>
    <w:rsid w:val="00D65D2C"/>
    <w:rsid w:val="00D733B3"/>
    <w:rsid w:val="00D77FF1"/>
    <w:rsid w:val="00D8010F"/>
    <w:rsid w:val="00D8680C"/>
    <w:rsid w:val="00D87C70"/>
    <w:rsid w:val="00D93971"/>
    <w:rsid w:val="00DA0981"/>
    <w:rsid w:val="00DA32A2"/>
    <w:rsid w:val="00DA4E6B"/>
    <w:rsid w:val="00DB7926"/>
    <w:rsid w:val="00DC2A8E"/>
    <w:rsid w:val="00DC4D27"/>
    <w:rsid w:val="00DD06ED"/>
    <w:rsid w:val="00DD5136"/>
    <w:rsid w:val="00DD572A"/>
    <w:rsid w:val="00DE3ED0"/>
    <w:rsid w:val="00E034C6"/>
    <w:rsid w:val="00E057C5"/>
    <w:rsid w:val="00E066D0"/>
    <w:rsid w:val="00E32A99"/>
    <w:rsid w:val="00E33801"/>
    <w:rsid w:val="00E43C46"/>
    <w:rsid w:val="00E55F2B"/>
    <w:rsid w:val="00E56A97"/>
    <w:rsid w:val="00E853A3"/>
    <w:rsid w:val="00E85C51"/>
    <w:rsid w:val="00E86276"/>
    <w:rsid w:val="00E91B2C"/>
    <w:rsid w:val="00E9657D"/>
    <w:rsid w:val="00E96676"/>
    <w:rsid w:val="00EA21DA"/>
    <w:rsid w:val="00EA31B6"/>
    <w:rsid w:val="00EA397F"/>
    <w:rsid w:val="00EA4A53"/>
    <w:rsid w:val="00EA56AE"/>
    <w:rsid w:val="00EA5EDB"/>
    <w:rsid w:val="00EB20F7"/>
    <w:rsid w:val="00EC34D4"/>
    <w:rsid w:val="00ED50E1"/>
    <w:rsid w:val="00EE4898"/>
    <w:rsid w:val="00EE62FF"/>
    <w:rsid w:val="00EF6FD6"/>
    <w:rsid w:val="00F001CA"/>
    <w:rsid w:val="00F051E8"/>
    <w:rsid w:val="00F0648C"/>
    <w:rsid w:val="00F07301"/>
    <w:rsid w:val="00F07CB3"/>
    <w:rsid w:val="00F1162A"/>
    <w:rsid w:val="00F12342"/>
    <w:rsid w:val="00F12359"/>
    <w:rsid w:val="00F130AF"/>
    <w:rsid w:val="00F21F94"/>
    <w:rsid w:val="00F23384"/>
    <w:rsid w:val="00F23B91"/>
    <w:rsid w:val="00F25BEF"/>
    <w:rsid w:val="00F301FA"/>
    <w:rsid w:val="00F34FB9"/>
    <w:rsid w:val="00F5142C"/>
    <w:rsid w:val="00F52152"/>
    <w:rsid w:val="00F52599"/>
    <w:rsid w:val="00F52EC7"/>
    <w:rsid w:val="00F55EAE"/>
    <w:rsid w:val="00F57BA1"/>
    <w:rsid w:val="00F607D5"/>
    <w:rsid w:val="00F64B95"/>
    <w:rsid w:val="00F6649B"/>
    <w:rsid w:val="00F66BCA"/>
    <w:rsid w:val="00F82244"/>
    <w:rsid w:val="00F84C9E"/>
    <w:rsid w:val="00F9086D"/>
    <w:rsid w:val="00F9322F"/>
    <w:rsid w:val="00FA686A"/>
    <w:rsid w:val="00FA6A74"/>
    <w:rsid w:val="00FA764B"/>
    <w:rsid w:val="00FB1661"/>
    <w:rsid w:val="00FC38A1"/>
    <w:rsid w:val="00FD1301"/>
    <w:rsid w:val="00FD1D06"/>
    <w:rsid w:val="00FD6659"/>
    <w:rsid w:val="00FE1043"/>
    <w:rsid w:val="00FF5AE7"/>
    <w:rsid w:val="00FF60C6"/>
    <w:rsid w:val="01051BC2"/>
    <w:rsid w:val="016F5C35"/>
    <w:rsid w:val="01853A99"/>
    <w:rsid w:val="01972D60"/>
    <w:rsid w:val="019F29FF"/>
    <w:rsid w:val="01B07530"/>
    <w:rsid w:val="01C93546"/>
    <w:rsid w:val="01E52564"/>
    <w:rsid w:val="022A532B"/>
    <w:rsid w:val="025119FC"/>
    <w:rsid w:val="02590758"/>
    <w:rsid w:val="026057B5"/>
    <w:rsid w:val="02706198"/>
    <w:rsid w:val="02BB10C4"/>
    <w:rsid w:val="02E335AF"/>
    <w:rsid w:val="034E4A22"/>
    <w:rsid w:val="037173F5"/>
    <w:rsid w:val="03984AE4"/>
    <w:rsid w:val="03E059D2"/>
    <w:rsid w:val="045007C8"/>
    <w:rsid w:val="04621BE5"/>
    <w:rsid w:val="046B7EF9"/>
    <w:rsid w:val="047562DE"/>
    <w:rsid w:val="04900C53"/>
    <w:rsid w:val="049722EE"/>
    <w:rsid w:val="04A15D3B"/>
    <w:rsid w:val="051A30BF"/>
    <w:rsid w:val="051B4077"/>
    <w:rsid w:val="052B53F4"/>
    <w:rsid w:val="053068BE"/>
    <w:rsid w:val="057C7341"/>
    <w:rsid w:val="05A91768"/>
    <w:rsid w:val="05BD73DC"/>
    <w:rsid w:val="05BF1B24"/>
    <w:rsid w:val="05DE22D0"/>
    <w:rsid w:val="05E10080"/>
    <w:rsid w:val="05F9677C"/>
    <w:rsid w:val="061B56B0"/>
    <w:rsid w:val="062F3584"/>
    <w:rsid w:val="06611DC8"/>
    <w:rsid w:val="066A7E49"/>
    <w:rsid w:val="06742669"/>
    <w:rsid w:val="068F1C88"/>
    <w:rsid w:val="06977847"/>
    <w:rsid w:val="06A52A2F"/>
    <w:rsid w:val="06BB1A3E"/>
    <w:rsid w:val="06D27684"/>
    <w:rsid w:val="06E1440D"/>
    <w:rsid w:val="06E9451C"/>
    <w:rsid w:val="06F47A3E"/>
    <w:rsid w:val="06FE4C7B"/>
    <w:rsid w:val="070E41BB"/>
    <w:rsid w:val="074F777F"/>
    <w:rsid w:val="07670C6A"/>
    <w:rsid w:val="076C2C7E"/>
    <w:rsid w:val="078F3005"/>
    <w:rsid w:val="07B930A2"/>
    <w:rsid w:val="07C07012"/>
    <w:rsid w:val="07C466F9"/>
    <w:rsid w:val="07F10DC0"/>
    <w:rsid w:val="07FE6FB6"/>
    <w:rsid w:val="08031E69"/>
    <w:rsid w:val="080D3997"/>
    <w:rsid w:val="08241A15"/>
    <w:rsid w:val="082A37BE"/>
    <w:rsid w:val="08355216"/>
    <w:rsid w:val="087A2421"/>
    <w:rsid w:val="08834317"/>
    <w:rsid w:val="08935BC4"/>
    <w:rsid w:val="08B11146"/>
    <w:rsid w:val="08BC659E"/>
    <w:rsid w:val="08E64EDB"/>
    <w:rsid w:val="08F76E4E"/>
    <w:rsid w:val="091A30CD"/>
    <w:rsid w:val="09303886"/>
    <w:rsid w:val="094E2166"/>
    <w:rsid w:val="09545708"/>
    <w:rsid w:val="09B537A1"/>
    <w:rsid w:val="09D13761"/>
    <w:rsid w:val="0A814961"/>
    <w:rsid w:val="0A8C3D2E"/>
    <w:rsid w:val="0A8F66BA"/>
    <w:rsid w:val="0AAD4A9B"/>
    <w:rsid w:val="0AF62434"/>
    <w:rsid w:val="0B183D49"/>
    <w:rsid w:val="0B201CF0"/>
    <w:rsid w:val="0B2B11EE"/>
    <w:rsid w:val="0B4724B0"/>
    <w:rsid w:val="0B495601"/>
    <w:rsid w:val="0B5331CB"/>
    <w:rsid w:val="0B72272F"/>
    <w:rsid w:val="0BAC149A"/>
    <w:rsid w:val="0C320844"/>
    <w:rsid w:val="0C58755E"/>
    <w:rsid w:val="0C694B60"/>
    <w:rsid w:val="0C6E62A7"/>
    <w:rsid w:val="0C8669B2"/>
    <w:rsid w:val="0CAD576F"/>
    <w:rsid w:val="0CCF55A7"/>
    <w:rsid w:val="0CF668DE"/>
    <w:rsid w:val="0D350561"/>
    <w:rsid w:val="0D495165"/>
    <w:rsid w:val="0D516708"/>
    <w:rsid w:val="0D6A32B8"/>
    <w:rsid w:val="0D6B458F"/>
    <w:rsid w:val="0D705D65"/>
    <w:rsid w:val="0D970C3A"/>
    <w:rsid w:val="0D9859EA"/>
    <w:rsid w:val="0DD00CEA"/>
    <w:rsid w:val="0DD81319"/>
    <w:rsid w:val="0DDF6E30"/>
    <w:rsid w:val="0DE04D9C"/>
    <w:rsid w:val="0DEC1656"/>
    <w:rsid w:val="0E30718E"/>
    <w:rsid w:val="0E8E339D"/>
    <w:rsid w:val="0ECE5B29"/>
    <w:rsid w:val="0ED20DE6"/>
    <w:rsid w:val="0EDC6B1D"/>
    <w:rsid w:val="0EF8458F"/>
    <w:rsid w:val="0F0732D8"/>
    <w:rsid w:val="0F1A630E"/>
    <w:rsid w:val="0F2A4A63"/>
    <w:rsid w:val="0F79795F"/>
    <w:rsid w:val="0FDF3217"/>
    <w:rsid w:val="0FE52072"/>
    <w:rsid w:val="0FE65D02"/>
    <w:rsid w:val="101843A9"/>
    <w:rsid w:val="10627B38"/>
    <w:rsid w:val="107D7905"/>
    <w:rsid w:val="10836A79"/>
    <w:rsid w:val="10A646F2"/>
    <w:rsid w:val="10AA08E6"/>
    <w:rsid w:val="10BE7415"/>
    <w:rsid w:val="10C843FE"/>
    <w:rsid w:val="10F055B0"/>
    <w:rsid w:val="10FE2814"/>
    <w:rsid w:val="111E465C"/>
    <w:rsid w:val="113A565D"/>
    <w:rsid w:val="11574863"/>
    <w:rsid w:val="11A3282F"/>
    <w:rsid w:val="11BF194F"/>
    <w:rsid w:val="11CB0B43"/>
    <w:rsid w:val="11E526F8"/>
    <w:rsid w:val="11E564DB"/>
    <w:rsid w:val="12032FD1"/>
    <w:rsid w:val="121823E8"/>
    <w:rsid w:val="12270893"/>
    <w:rsid w:val="12477787"/>
    <w:rsid w:val="12501663"/>
    <w:rsid w:val="12511DE2"/>
    <w:rsid w:val="12921963"/>
    <w:rsid w:val="12976BF4"/>
    <w:rsid w:val="12F706F7"/>
    <w:rsid w:val="12FB32D9"/>
    <w:rsid w:val="131D114D"/>
    <w:rsid w:val="1348444C"/>
    <w:rsid w:val="13581549"/>
    <w:rsid w:val="13675AF7"/>
    <w:rsid w:val="13881CB2"/>
    <w:rsid w:val="13AF0DB0"/>
    <w:rsid w:val="13B84C12"/>
    <w:rsid w:val="13BF0201"/>
    <w:rsid w:val="13CF5E7E"/>
    <w:rsid w:val="13D6470E"/>
    <w:rsid w:val="14023069"/>
    <w:rsid w:val="14093F1B"/>
    <w:rsid w:val="140E03CB"/>
    <w:rsid w:val="14144223"/>
    <w:rsid w:val="14150597"/>
    <w:rsid w:val="14572D96"/>
    <w:rsid w:val="145936C5"/>
    <w:rsid w:val="14725DF3"/>
    <w:rsid w:val="14BA20EB"/>
    <w:rsid w:val="14C7106E"/>
    <w:rsid w:val="14E4537D"/>
    <w:rsid w:val="14FB057E"/>
    <w:rsid w:val="15046010"/>
    <w:rsid w:val="1512325B"/>
    <w:rsid w:val="152A714F"/>
    <w:rsid w:val="155916EE"/>
    <w:rsid w:val="15642EBA"/>
    <w:rsid w:val="15687072"/>
    <w:rsid w:val="156A2CF3"/>
    <w:rsid w:val="156D2257"/>
    <w:rsid w:val="156E041E"/>
    <w:rsid w:val="157F541E"/>
    <w:rsid w:val="15883D87"/>
    <w:rsid w:val="158A4D68"/>
    <w:rsid w:val="15952888"/>
    <w:rsid w:val="15A23DE4"/>
    <w:rsid w:val="15AE338E"/>
    <w:rsid w:val="15CA402E"/>
    <w:rsid w:val="15D26080"/>
    <w:rsid w:val="160C6692"/>
    <w:rsid w:val="163C18B2"/>
    <w:rsid w:val="166F2CEE"/>
    <w:rsid w:val="168439B6"/>
    <w:rsid w:val="168738C3"/>
    <w:rsid w:val="168C6C88"/>
    <w:rsid w:val="169C4C1E"/>
    <w:rsid w:val="16DE4F0A"/>
    <w:rsid w:val="17072161"/>
    <w:rsid w:val="171D4256"/>
    <w:rsid w:val="17305B1F"/>
    <w:rsid w:val="177C1231"/>
    <w:rsid w:val="1829607D"/>
    <w:rsid w:val="185D3EB2"/>
    <w:rsid w:val="18AD19C0"/>
    <w:rsid w:val="18F97311"/>
    <w:rsid w:val="19025465"/>
    <w:rsid w:val="192201FD"/>
    <w:rsid w:val="1930599F"/>
    <w:rsid w:val="19380A12"/>
    <w:rsid w:val="194467B3"/>
    <w:rsid w:val="194739B0"/>
    <w:rsid w:val="194E1DDE"/>
    <w:rsid w:val="19A9569B"/>
    <w:rsid w:val="19AE2C34"/>
    <w:rsid w:val="19BE4516"/>
    <w:rsid w:val="19C8553A"/>
    <w:rsid w:val="19EF167F"/>
    <w:rsid w:val="1A017312"/>
    <w:rsid w:val="1A06776F"/>
    <w:rsid w:val="1A0B1E27"/>
    <w:rsid w:val="1A21204B"/>
    <w:rsid w:val="1A234E77"/>
    <w:rsid w:val="1A2C240B"/>
    <w:rsid w:val="1A345DA6"/>
    <w:rsid w:val="1A415ACB"/>
    <w:rsid w:val="1A513FF9"/>
    <w:rsid w:val="1A74173A"/>
    <w:rsid w:val="1AA17ABC"/>
    <w:rsid w:val="1ACC509D"/>
    <w:rsid w:val="1ADB0DA2"/>
    <w:rsid w:val="1B06088A"/>
    <w:rsid w:val="1B0D7285"/>
    <w:rsid w:val="1B106793"/>
    <w:rsid w:val="1B220777"/>
    <w:rsid w:val="1B2F77E9"/>
    <w:rsid w:val="1B551F9C"/>
    <w:rsid w:val="1B574B73"/>
    <w:rsid w:val="1B676744"/>
    <w:rsid w:val="1B6E7320"/>
    <w:rsid w:val="1B944026"/>
    <w:rsid w:val="1BC13337"/>
    <w:rsid w:val="1BF6420E"/>
    <w:rsid w:val="1C367E97"/>
    <w:rsid w:val="1C3E231F"/>
    <w:rsid w:val="1C5E3770"/>
    <w:rsid w:val="1C5F71DC"/>
    <w:rsid w:val="1C625228"/>
    <w:rsid w:val="1C6540F3"/>
    <w:rsid w:val="1CAC6918"/>
    <w:rsid w:val="1CB53191"/>
    <w:rsid w:val="1CD220F0"/>
    <w:rsid w:val="1CEB540E"/>
    <w:rsid w:val="1D5E4B71"/>
    <w:rsid w:val="1D7C1444"/>
    <w:rsid w:val="1DC42D66"/>
    <w:rsid w:val="1DFF5892"/>
    <w:rsid w:val="1E1B06B9"/>
    <w:rsid w:val="1E6C6F86"/>
    <w:rsid w:val="1E6F4DD0"/>
    <w:rsid w:val="1EBF613B"/>
    <w:rsid w:val="1EC36185"/>
    <w:rsid w:val="1ECB1820"/>
    <w:rsid w:val="1ED42985"/>
    <w:rsid w:val="1F066F3C"/>
    <w:rsid w:val="1F435EC9"/>
    <w:rsid w:val="1F503903"/>
    <w:rsid w:val="1F786767"/>
    <w:rsid w:val="1FA4765D"/>
    <w:rsid w:val="1FB16189"/>
    <w:rsid w:val="1FCF4B1D"/>
    <w:rsid w:val="1FD646DD"/>
    <w:rsid w:val="1FE2166B"/>
    <w:rsid w:val="201D7FEC"/>
    <w:rsid w:val="20263347"/>
    <w:rsid w:val="20357325"/>
    <w:rsid w:val="20416678"/>
    <w:rsid w:val="204C24C3"/>
    <w:rsid w:val="205160B2"/>
    <w:rsid w:val="2066457B"/>
    <w:rsid w:val="20702194"/>
    <w:rsid w:val="20836BD8"/>
    <w:rsid w:val="209E68F7"/>
    <w:rsid w:val="20D005C2"/>
    <w:rsid w:val="20D734BB"/>
    <w:rsid w:val="21553C7F"/>
    <w:rsid w:val="2196289F"/>
    <w:rsid w:val="21B46EA8"/>
    <w:rsid w:val="21E06AFD"/>
    <w:rsid w:val="21EB4141"/>
    <w:rsid w:val="21F552AA"/>
    <w:rsid w:val="220E3ECE"/>
    <w:rsid w:val="222D2EDD"/>
    <w:rsid w:val="22320694"/>
    <w:rsid w:val="22765CA7"/>
    <w:rsid w:val="228E1A7C"/>
    <w:rsid w:val="22941ED8"/>
    <w:rsid w:val="22FD42DA"/>
    <w:rsid w:val="23087A91"/>
    <w:rsid w:val="23471EE9"/>
    <w:rsid w:val="2352717F"/>
    <w:rsid w:val="23621009"/>
    <w:rsid w:val="23660A05"/>
    <w:rsid w:val="237041E3"/>
    <w:rsid w:val="237431B0"/>
    <w:rsid w:val="23876B4F"/>
    <w:rsid w:val="239A7398"/>
    <w:rsid w:val="242068A3"/>
    <w:rsid w:val="245C61A7"/>
    <w:rsid w:val="24633C82"/>
    <w:rsid w:val="247316FD"/>
    <w:rsid w:val="24887EA6"/>
    <w:rsid w:val="248A17D3"/>
    <w:rsid w:val="249204FC"/>
    <w:rsid w:val="24A5050B"/>
    <w:rsid w:val="24C83D3A"/>
    <w:rsid w:val="24D25A92"/>
    <w:rsid w:val="24DE5DC5"/>
    <w:rsid w:val="251353A8"/>
    <w:rsid w:val="25865479"/>
    <w:rsid w:val="259B1E7E"/>
    <w:rsid w:val="25A97E94"/>
    <w:rsid w:val="261B3B07"/>
    <w:rsid w:val="265018D5"/>
    <w:rsid w:val="265165AD"/>
    <w:rsid w:val="268F05CC"/>
    <w:rsid w:val="26AD20A2"/>
    <w:rsid w:val="26C61BA8"/>
    <w:rsid w:val="27411DBA"/>
    <w:rsid w:val="27544B9D"/>
    <w:rsid w:val="2770139F"/>
    <w:rsid w:val="277D11D6"/>
    <w:rsid w:val="27B71403"/>
    <w:rsid w:val="28144C54"/>
    <w:rsid w:val="284A4E31"/>
    <w:rsid w:val="28505BE9"/>
    <w:rsid w:val="2859370C"/>
    <w:rsid w:val="28803835"/>
    <w:rsid w:val="28AD7753"/>
    <w:rsid w:val="28CC55C8"/>
    <w:rsid w:val="28DC0C88"/>
    <w:rsid w:val="29070618"/>
    <w:rsid w:val="29770C01"/>
    <w:rsid w:val="29E66142"/>
    <w:rsid w:val="2A024F82"/>
    <w:rsid w:val="2A162E6E"/>
    <w:rsid w:val="2A251D94"/>
    <w:rsid w:val="2A5D5C10"/>
    <w:rsid w:val="2A76755E"/>
    <w:rsid w:val="2A7D5117"/>
    <w:rsid w:val="2A883C25"/>
    <w:rsid w:val="2AB252CF"/>
    <w:rsid w:val="2ADF3094"/>
    <w:rsid w:val="2B21610A"/>
    <w:rsid w:val="2B2E0921"/>
    <w:rsid w:val="2B387BF0"/>
    <w:rsid w:val="2B4A014F"/>
    <w:rsid w:val="2B6C5A5F"/>
    <w:rsid w:val="2B7647A2"/>
    <w:rsid w:val="2B7A4EFF"/>
    <w:rsid w:val="2B813311"/>
    <w:rsid w:val="2B9076E2"/>
    <w:rsid w:val="2BCA5E6D"/>
    <w:rsid w:val="2BD9140F"/>
    <w:rsid w:val="2BE45E6D"/>
    <w:rsid w:val="2BF67D7D"/>
    <w:rsid w:val="2C237419"/>
    <w:rsid w:val="2C531703"/>
    <w:rsid w:val="2C5B2BB8"/>
    <w:rsid w:val="2C69365C"/>
    <w:rsid w:val="2C8A703F"/>
    <w:rsid w:val="2C9C71FC"/>
    <w:rsid w:val="2CA624D2"/>
    <w:rsid w:val="2CAB2600"/>
    <w:rsid w:val="2CF24654"/>
    <w:rsid w:val="2CF6672E"/>
    <w:rsid w:val="2D1C3B68"/>
    <w:rsid w:val="2D2229B2"/>
    <w:rsid w:val="2D56073B"/>
    <w:rsid w:val="2D89799F"/>
    <w:rsid w:val="2DA962AC"/>
    <w:rsid w:val="2DEB50E8"/>
    <w:rsid w:val="2DED3F13"/>
    <w:rsid w:val="2E2B3406"/>
    <w:rsid w:val="2E4A7336"/>
    <w:rsid w:val="2E4A7B35"/>
    <w:rsid w:val="2E4E5033"/>
    <w:rsid w:val="2E6B578C"/>
    <w:rsid w:val="2EE372C3"/>
    <w:rsid w:val="2EEB4AED"/>
    <w:rsid w:val="2F1A1FC9"/>
    <w:rsid w:val="2F8C6908"/>
    <w:rsid w:val="2F943E4B"/>
    <w:rsid w:val="2FC7793C"/>
    <w:rsid w:val="2FF2314C"/>
    <w:rsid w:val="2FFB0F18"/>
    <w:rsid w:val="300D3841"/>
    <w:rsid w:val="3024185D"/>
    <w:rsid w:val="30413FCE"/>
    <w:rsid w:val="304A1A07"/>
    <w:rsid w:val="30617443"/>
    <w:rsid w:val="30B803EA"/>
    <w:rsid w:val="30C5468C"/>
    <w:rsid w:val="310A600B"/>
    <w:rsid w:val="31394B6D"/>
    <w:rsid w:val="31551730"/>
    <w:rsid w:val="318F3095"/>
    <w:rsid w:val="31D234F3"/>
    <w:rsid w:val="321F669A"/>
    <w:rsid w:val="322054E2"/>
    <w:rsid w:val="32696861"/>
    <w:rsid w:val="326C7A3A"/>
    <w:rsid w:val="32FD4595"/>
    <w:rsid w:val="33040922"/>
    <w:rsid w:val="33146930"/>
    <w:rsid w:val="334B77F9"/>
    <w:rsid w:val="335B5D3E"/>
    <w:rsid w:val="335D2947"/>
    <w:rsid w:val="3366636F"/>
    <w:rsid w:val="33907B65"/>
    <w:rsid w:val="33B15E67"/>
    <w:rsid w:val="33B77020"/>
    <w:rsid w:val="340269D0"/>
    <w:rsid w:val="342577F2"/>
    <w:rsid w:val="34412505"/>
    <w:rsid w:val="345A10EB"/>
    <w:rsid w:val="349174EF"/>
    <w:rsid w:val="34D53C58"/>
    <w:rsid w:val="350202EE"/>
    <w:rsid w:val="350D0E7D"/>
    <w:rsid w:val="353D501C"/>
    <w:rsid w:val="35687CE4"/>
    <w:rsid w:val="356B2B08"/>
    <w:rsid w:val="356C67F4"/>
    <w:rsid w:val="35F641ED"/>
    <w:rsid w:val="362C35A8"/>
    <w:rsid w:val="363B2896"/>
    <w:rsid w:val="364F58B6"/>
    <w:rsid w:val="3681181F"/>
    <w:rsid w:val="36911E77"/>
    <w:rsid w:val="36932EDB"/>
    <w:rsid w:val="36B46682"/>
    <w:rsid w:val="36E567E2"/>
    <w:rsid w:val="371B3C0C"/>
    <w:rsid w:val="37620260"/>
    <w:rsid w:val="3764581F"/>
    <w:rsid w:val="37776106"/>
    <w:rsid w:val="37A72B8A"/>
    <w:rsid w:val="37AD74D3"/>
    <w:rsid w:val="37BA5750"/>
    <w:rsid w:val="37CD16BE"/>
    <w:rsid w:val="37E9301C"/>
    <w:rsid w:val="38114365"/>
    <w:rsid w:val="38C01169"/>
    <w:rsid w:val="38C0367A"/>
    <w:rsid w:val="38D67C8C"/>
    <w:rsid w:val="38F47BC9"/>
    <w:rsid w:val="39023EF6"/>
    <w:rsid w:val="39256A34"/>
    <w:rsid w:val="39353471"/>
    <w:rsid w:val="39401552"/>
    <w:rsid w:val="396534FD"/>
    <w:rsid w:val="39877ADA"/>
    <w:rsid w:val="39AD746C"/>
    <w:rsid w:val="39C27E4A"/>
    <w:rsid w:val="39CE6967"/>
    <w:rsid w:val="39DF650B"/>
    <w:rsid w:val="39EA2C12"/>
    <w:rsid w:val="3A144156"/>
    <w:rsid w:val="3A175EE4"/>
    <w:rsid w:val="3A3502DB"/>
    <w:rsid w:val="3A7A48F4"/>
    <w:rsid w:val="3A9D7607"/>
    <w:rsid w:val="3AA724BE"/>
    <w:rsid w:val="3B113C56"/>
    <w:rsid w:val="3B166EF3"/>
    <w:rsid w:val="3B2A1697"/>
    <w:rsid w:val="3B357729"/>
    <w:rsid w:val="3B5703E6"/>
    <w:rsid w:val="3B6303A3"/>
    <w:rsid w:val="3B970652"/>
    <w:rsid w:val="3BF6496C"/>
    <w:rsid w:val="3C1057D6"/>
    <w:rsid w:val="3C2A10CC"/>
    <w:rsid w:val="3C2C68F7"/>
    <w:rsid w:val="3C63749C"/>
    <w:rsid w:val="3C6C6120"/>
    <w:rsid w:val="3C6C6A4A"/>
    <w:rsid w:val="3C734FE7"/>
    <w:rsid w:val="3C754F46"/>
    <w:rsid w:val="3C7C0AD9"/>
    <w:rsid w:val="3C9B16E5"/>
    <w:rsid w:val="3C9E67E5"/>
    <w:rsid w:val="3CA27920"/>
    <w:rsid w:val="3CAF6491"/>
    <w:rsid w:val="3CB25365"/>
    <w:rsid w:val="3CB66EDA"/>
    <w:rsid w:val="3CBE72C5"/>
    <w:rsid w:val="3CC61459"/>
    <w:rsid w:val="3D090FF5"/>
    <w:rsid w:val="3D266F20"/>
    <w:rsid w:val="3D6E0ED6"/>
    <w:rsid w:val="3D8C7D9E"/>
    <w:rsid w:val="3DA25C10"/>
    <w:rsid w:val="3DC54FB1"/>
    <w:rsid w:val="3DDC1CCC"/>
    <w:rsid w:val="3E062AFC"/>
    <w:rsid w:val="3E474407"/>
    <w:rsid w:val="3E5C4F83"/>
    <w:rsid w:val="3E5E374E"/>
    <w:rsid w:val="3E7E165F"/>
    <w:rsid w:val="3E8E2AF3"/>
    <w:rsid w:val="3E9A3708"/>
    <w:rsid w:val="3EB96119"/>
    <w:rsid w:val="3EBF12C6"/>
    <w:rsid w:val="3ED661F9"/>
    <w:rsid w:val="3ED81279"/>
    <w:rsid w:val="3F355360"/>
    <w:rsid w:val="3F362574"/>
    <w:rsid w:val="3F5F08D2"/>
    <w:rsid w:val="3F7E02FA"/>
    <w:rsid w:val="3F7F1DF0"/>
    <w:rsid w:val="3F844935"/>
    <w:rsid w:val="3FB13305"/>
    <w:rsid w:val="3FC364AB"/>
    <w:rsid w:val="3FD27730"/>
    <w:rsid w:val="3FF763C6"/>
    <w:rsid w:val="400F6405"/>
    <w:rsid w:val="40144136"/>
    <w:rsid w:val="40163ACA"/>
    <w:rsid w:val="401E686E"/>
    <w:rsid w:val="405D1EEF"/>
    <w:rsid w:val="4068667C"/>
    <w:rsid w:val="406D3CCC"/>
    <w:rsid w:val="40BD4D08"/>
    <w:rsid w:val="40E206DE"/>
    <w:rsid w:val="40F456D3"/>
    <w:rsid w:val="411A6716"/>
    <w:rsid w:val="411F3664"/>
    <w:rsid w:val="41501BFC"/>
    <w:rsid w:val="41674852"/>
    <w:rsid w:val="41715365"/>
    <w:rsid w:val="417F330F"/>
    <w:rsid w:val="418774A7"/>
    <w:rsid w:val="41B36892"/>
    <w:rsid w:val="41CD5AEA"/>
    <w:rsid w:val="42305A6F"/>
    <w:rsid w:val="423D0E1A"/>
    <w:rsid w:val="4259540F"/>
    <w:rsid w:val="426F4D05"/>
    <w:rsid w:val="427A0EC3"/>
    <w:rsid w:val="42A77643"/>
    <w:rsid w:val="42A9012B"/>
    <w:rsid w:val="42BB3568"/>
    <w:rsid w:val="430E331D"/>
    <w:rsid w:val="43340DB7"/>
    <w:rsid w:val="433618E3"/>
    <w:rsid w:val="434906EF"/>
    <w:rsid w:val="43521963"/>
    <w:rsid w:val="436A1D85"/>
    <w:rsid w:val="43902F92"/>
    <w:rsid w:val="43BB5864"/>
    <w:rsid w:val="43D47283"/>
    <w:rsid w:val="44015158"/>
    <w:rsid w:val="44034AA6"/>
    <w:rsid w:val="443F6670"/>
    <w:rsid w:val="446964C0"/>
    <w:rsid w:val="44AD30E8"/>
    <w:rsid w:val="44CA5BA2"/>
    <w:rsid w:val="44D65C21"/>
    <w:rsid w:val="45272B0A"/>
    <w:rsid w:val="455F48D6"/>
    <w:rsid w:val="45741C31"/>
    <w:rsid w:val="457B6D5D"/>
    <w:rsid w:val="457F1C35"/>
    <w:rsid w:val="459E1C7A"/>
    <w:rsid w:val="45B17D82"/>
    <w:rsid w:val="45BD5D2A"/>
    <w:rsid w:val="45FE7DDA"/>
    <w:rsid w:val="46185497"/>
    <w:rsid w:val="465C21EF"/>
    <w:rsid w:val="46A94114"/>
    <w:rsid w:val="46D23591"/>
    <w:rsid w:val="4747483B"/>
    <w:rsid w:val="4752024C"/>
    <w:rsid w:val="479D34DA"/>
    <w:rsid w:val="47AC7F44"/>
    <w:rsid w:val="47B20C30"/>
    <w:rsid w:val="48252E1B"/>
    <w:rsid w:val="48384FF9"/>
    <w:rsid w:val="48771BED"/>
    <w:rsid w:val="48AB1CA7"/>
    <w:rsid w:val="48B2607D"/>
    <w:rsid w:val="48B4556B"/>
    <w:rsid w:val="48D15C4E"/>
    <w:rsid w:val="491A529B"/>
    <w:rsid w:val="494D0BC6"/>
    <w:rsid w:val="49741C41"/>
    <w:rsid w:val="4985592B"/>
    <w:rsid w:val="4A0B2CD5"/>
    <w:rsid w:val="4A312D13"/>
    <w:rsid w:val="4A431B58"/>
    <w:rsid w:val="4A642301"/>
    <w:rsid w:val="4B1F35D3"/>
    <w:rsid w:val="4B2847BE"/>
    <w:rsid w:val="4B4C2CD2"/>
    <w:rsid w:val="4B697359"/>
    <w:rsid w:val="4B726BBC"/>
    <w:rsid w:val="4B991742"/>
    <w:rsid w:val="4BAE407C"/>
    <w:rsid w:val="4BB23436"/>
    <w:rsid w:val="4BC5027F"/>
    <w:rsid w:val="4BDF5445"/>
    <w:rsid w:val="4C2273BC"/>
    <w:rsid w:val="4C4654A4"/>
    <w:rsid w:val="4C4C1D0E"/>
    <w:rsid w:val="4C562BEC"/>
    <w:rsid w:val="4C9739DB"/>
    <w:rsid w:val="4C9A4880"/>
    <w:rsid w:val="4CAF2D12"/>
    <w:rsid w:val="4CB9174D"/>
    <w:rsid w:val="4CDA369E"/>
    <w:rsid w:val="4CEC67F7"/>
    <w:rsid w:val="4CF2108F"/>
    <w:rsid w:val="4CFF5A9E"/>
    <w:rsid w:val="4D1433F5"/>
    <w:rsid w:val="4D2A0846"/>
    <w:rsid w:val="4D3D6F9B"/>
    <w:rsid w:val="4D4A633F"/>
    <w:rsid w:val="4D55097D"/>
    <w:rsid w:val="4D5E77CB"/>
    <w:rsid w:val="4D76741B"/>
    <w:rsid w:val="4D9B0A0F"/>
    <w:rsid w:val="4DB6051A"/>
    <w:rsid w:val="4DDD6FB3"/>
    <w:rsid w:val="4E041916"/>
    <w:rsid w:val="4E060928"/>
    <w:rsid w:val="4E09695C"/>
    <w:rsid w:val="4E235C56"/>
    <w:rsid w:val="4E407A9C"/>
    <w:rsid w:val="4E4468D4"/>
    <w:rsid w:val="4E5B5EB2"/>
    <w:rsid w:val="4E877F54"/>
    <w:rsid w:val="4E8B296E"/>
    <w:rsid w:val="4EB1360B"/>
    <w:rsid w:val="4EF440F3"/>
    <w:rsid w:val="4EF56DB6"/>
    <w:rsid w:val="4F046634"/>
    <w:rsid w:val="4F3C0534"/>
    <w:rsid w:val="4F4F7399"/>
    <w:rsid w:val="4F5F3126"/>
    <w:rsid w:val="4F7C5A42"/>
    <w:rsid w:val="4F7D7854"/>
    <w:rsid w:val="4F7F7588"/>
    <w:rsid w:val="4FA82626"/>
    <w:rsid w:val="4FB8418D"/>
    <w:rsid w:val="4FC90041"/>
    <w:rsid w:val="4FD218EA"/>
    <w:rsid w:val="4FEE3C8F"/>
    <w:rsid w:val="4FF84140"/>
    <w:rsid w:val="501A2A30"/>
    <w:rsid w:val="501C3144"/>
    <w:rsid w:val="50343626"/>
    <w:rsid w:val="50344FAD"/>
    <w:rsid w:val="50992961"/>
    <w:rsid w:val="5099693A"/>
    <w:rsid w:val="50D12B41"/>
    <w:rsid w:val="50D504DE"/>
    <w:rsid w:val="50E047CF"/>
    <w:rsid w:val="50ED316C"/>
    <w:rsid w:val="50EF7D38"/>
    <w:rsid w:val="50F13690"/>
    <w:rsid w:val="51100F7F"/>
    <w:rsid w:val="5110162C"/>
    <w:rsid w:val="5118102E"/>
    <w:rsid w:val="513F0AF6"/>
    <w:rsid w:val="514D4ED0"/>
    <w:rsid w:val="51582E03"/>
    <w:rsid w:val="516440E8"/>
    <w:rsid w:val="51AA3409"/>
    <w:rsid w:val="51CA1DCB"/>
    <w:rsid w:val="51DA2B4D"/>
    <w:rsid w:val="5212048B"/>
    <w:rsid w:val="52153B23"/>
    <w:rsid w:val="52234AFA"/>
    <w:rsid w:val="52503D47"/>
    <w:rsid w:val="5293415F"/>
    <w:rsid w:val="52BE2755"/>
    <w:rsid w:val="52C252CC"/>
    <w:rsid w:val="52D454F2"/>
    <w:rsid w:val="52E1320C"/>
    <w:rsid w:val="52FC7200"/>
    <w:rsid w:val="532E2091"/>
    <w:rsid w:val="537B6C22"/>
    <w:rsid w:val="542E3E3B"/>
    <w:rsid w:val="5454185E"/>
    <w:rsid w:val="5461053A"/>
    <w:rsid w:val="5466087F"/>
    <w:rsid w:val="546C79AD"/>
    <w:rsid w:val="548328D3"/>
    <w:rsid w:val="54970FD2"/>
    <w:rsid w:val="54A05FA4"/>
    <w:rsid w:val="54DD34AA"/>
    <w:rsid w:val="54E77D81"/>
    <w:rsid w:val="55226D07"/>
    <w:rsid w:val="552672F6"/>
    <w:rsid w:val="55A042E7"/>
    <w:rsid w:val="55A80DB5"/>
    <w:rsid w:val="55D10146"/>
    <w:rsid w:val="55E1405A"/>
    <w:rsid w:val="561E045F"/>
    <w:rsid w:val="56341AE3"/>
    <w:rsid w:val="5651155E"/>
    <w:rsid w:val="56625C16"/>
    <w:rsid w:val="56744513"/>
    <w:rsid w:val="56817C55"/>
    <w:rsid w:val="568277FC"/>
    <w:rsid w:val="56902235"/>
    <w:rsid w:val="572D5056"/>
    <w:rsid w:val="579322BC"/>
    <w:rsid w:val="57D824E7"/>
    <w:rsid w:val="57DC07AC"/>
    <w:rsid w:val="580F50CD"/>
    <w:rsid w:val="58250A7C"/>
    <w:rsid w:val="58383BC2"/>
    <w:rsid w:val="584F2333"/>
    <w:rsid w:val="585D0D73"/>
    <w:rsid w:val="5877287D"/>
    <w:rsid w:val="587E2B60"/>
    <w:rsid w:val="58890237"/>
    <w:rsid w:val="588A11FD"/>
    <w:rsid w:val="589C7904"/>
    <w:rsid w:val="58BF1CDD"/>
    <w:rsid w:val="59311537"/>
    <w:rsid w:val="594B1977"/>
    <w:rsid w:val="597A5615"/>
    <w:rsid w:val="598067D5"/>
    <w:rsid w:val="59866208"/>
    <w:rsid w:val="59910BB9"/>
    <w:rsid w:val="59965ABB"/>
    <w:rsid w:val="59CC6296"/>
    <w:rsid w:val="59D62AC4"/>
    <w:rsid w:val="5A540295"/>
    <w:rsid w:val="5A7523CD"/>
    <w:rsid w:val="5AC874F0"/>
    <w:rsid w:val="5AD47F37"/>
    <w:rsid w:val="5AE56123"/>
    <w:rsid w:val="5AF06C9D"/>
    <w:rsid w:val="5B0016E1"/>
    <w:rsid w:val="5B380045"/>
    <w:rsid w:val="5B407769"/>
    <w:rsid w:val="5B422CBB"/>
    <w:rsid w:val="5B8A1DAA"/>
    <w:rsid w:val="5BA0270B"/>
    <w:rsid w:val="5BB07EA3"/>
    <w:rsid w:val="5BD348FD"/>
    <w:rsid w:val="5BEA5A2F"/>
    <w:rsid w:val="5BFA516C"/>
    <w:rsid w:val="5C175839"/>
    <w:rsid w:val="5C2D2EFA"/>
    <w:rsid w:val="5C6C42DA"/>
    <w:rsid w:val="5C7C3080"/>
    <w:rsid w:val="5C9E45F5"/>
    <w:rsid w:val="5CAE184C"/>
    <w:rsid w:val="5CB45076"/>
    <w:rsid w:val="5CCC6C02"/>
    <w:rsid w:val="5CCD159B"/>
    <w:rsid w:val="5CCF3427"/>
    <w:rsid w:val="5CD958CD"/>
    <w:rsid w:val="5CE36725"/>
    <w:rsid w:val="5CED0B5C"/>
    <w:rsid w:val="5D127027"/>
    <w:rsid w:val="5D4851DD"/>
    <w:rsid w:val="5D557162"/>
    <w:rsid w:val="5D9E6720"/>
    <w:rsid w:val="5E2F6086"/>
    <w:rsid w:val="5E431810"/>
    <w:rsid w:val="5E652C90"/>
    <w:rsid w:val="5E654974"/>
    <w:rsid w:val="5E753816"/>
    <w:rsid w:val="5E822C64"/>
    <w:rsid w:val="5E8D2FE5"/>
    <w:rsid w:val="5E904AEC"/>
    <w:rsid w:val="5E9E2143"/>
    <w:rsid w:val="5EA14CF3"/>
    <w:rsid w:val="5EC76B45"/>
    <w:rsid w:val="5F2F4534"/>
    <w:rsid w:val="5F5B125C"/>
    <w:rsid w:val="5F767BF8"/>
    <w:rsid w:val="5F9E0A02"/>
    <w:rsid w:val="5FD5235B"/>
    <w:rsid w:val="5FE27EE0"/>
    <w:rsid w:val="5FEB55B3"/>
    <w:rsid w:val="5FF74ED1"/>
    <w:rsid w:val="602C263E"/>
    <w:rsid w:val="60307729"/>
    <w:rsid w:val="60325BBE"/>
    <w:rsid w:val="60337945"/>
    <w:rsid w:val="606E5643"/>
    <w:rsid w:val="607A1087"/>
    <w:rsid w:val="60B81D41"/>
    <w:rsid w:val="60BF0312"/>
    <w:rsid w:val="60BF7B30"/>
    <w:rsid w:val="60D60117"/>
    <w:rsid w:val="60DE1EFA"/>
    <w:rsid w:val="60E50712"/>
    <w:rsid w:val="614B7D32"/>
    <w:rsid w:val="61A17B3A"/>
    <w:rsid w:val="61BA336E"/>
    <w:rsid w:val="62086F38"/>
    <w:rsid w:val="620E1834"/>
    <w:rsid w:val="62281FEF"/>
    <w:rsid w:val="62492030"/>
    <w:rsid w:val="628871DB"/>
    <w:rsid w:val="62B2160A"/>
    <w:rsid w:val="62B37EF2"/>
    <w:rsid w:val="62C85A61"/>
    <w:rsid w:val="62D04E20"/>
    <w:rsid w:val="62D73A94"/>
    <w:rsid w:val="63194217"/>
    <w:rsid w:val="63305152"/>
    <w:rsid w:val="63460266"/>
    <w:rsid w:val="63463A8C"/>
    <w:rsid w:val="635427F3"/>
    <w:rsid w:val="63550450"/>
    <w:rsid w:val="636E78F4"/>
    <w:rsid w:val="63B63C60"/>
    <w:rsid w:val="63BC4201"/>
    <w:rsid w:val="6409630F"/>
    <w:rsid w:val="640F7137"/>
    <w:rsid w:val="64132B93"/>
    <w:rsid w:val="642C2990"/>
    <w:rsid w:val="64347265"/>
    <w:rsid w:val="64426ECA"/>
    <w:rsid w:val="64450612"/>
    <w:rsid w:val="646A1271"/>
    <w:rsid w:val="646E44A6"/>
    <w:rsid w:val="64B044DC"/>
    <w:rsid w:val="656D328E"/>
    <w:rsid w:val="65883AB5"/>
    <w:rsid w:val="65F50F8E"/>
    <w:rsid w:val="66312549"/>
    <w:rsid w:val="66397A67"/>
    <w:rsid w:val="667B3592"/>
    <w:rsid w:val="66875EE0"/>
    <w:rsid w:val="66A35F39"/>
    <w:rsid w:val="66C435DD"/>
    <w:rsid w:val="670F795C"/>
    <w:rsid w:val="67C00163"/>
    <w:rsid w:val="67E2057C"/>
    <w:rsid w:val="67F355AC"/>
    <w:rsid w:val="685A24C7"/>
    <w:rsid w:val="68710EE3"/>
    <w:rsid w:val="688D12C9"/>
    <w:rsid w:val="6891760E"/>
    <w:rsid w:val="6894097E"/>
    <w:rsid w:val="68B257B8"/>
    <w:rsid w:val="68E53A04"/>
    <w:rsid w:val="690E530F"/>
    <w:rsid w:val="69405CFD"/>
    <w:rsid w:val="69A5364A"/>
    <w:rsid w:val="69EC4C56"/>
    <w:rsid w:val="69F21940"/>
    <w:rsid w:val="69F42D6B"/>
    <w:rsid w:val="6A0C5365"/>
    <w:rsid w:val="6A5C7947"/>
    <w:rsid w:val="6A641A36"/>
    <w:rsid w:val="6A6D3308"/>
    <w:rsid w:val="6A88125A"/>
    <w:rsid w:val="6A9402CC"/>
    <w:rsid w:val="6AC55297"/>
    <w:rsid w:val="6AF6102C"/>
    <w:rsid w:val="6B075917"/>
    <w:rsid w:val="6B114C1A"/>
    <w:rsid w:val="6B2B4114"/>
    <w:rsid w:val="6B4A7646"/>
    <w:rsid w:val="6B521032"/>
    <w:rsid w:val="6B5E7080"/>
    <w:rsid w:val="6B7B5383"/>
    <w:rsid w:val="6B7F0D8F"/>
    <w:rsid w:val="6BB6752A"/>
    <w:rsid w:val="6BB85749"/>
    <w:rsid w:val="6BCE49B7"/>
    <w:rsid w:val="6BF0454B"/>
    <w:rsid w:val="6BF72A6D"/>
    <w:rsid w:val="6C172A76"/>
    <w:rsid w:val="6C1B1768"/>
    <w:rsid w:val="6C8D303E"/>
    <w:rsid w:val="6CC163A1"/>
    <w:rsid w:val="6CC3097D"/>
    <w:rsid w:val="6CD65F16"/>
    <w:rsid w:val="6D065884"/>
    <w:rsid w:val="6D196946"/>
    <w:rsid w:val="6D1A28DE"/>
    <w:rsid w:val="6D7C2742"/>
    <w:rsid w:val="6DAC0B96"/>
    <w:rsid w:val="6DBE060E"/>
    <w:rsid w:val="6DF9485E"/>
    <w:rsid w:val="6E016683"/>
    <w:rsid w:val="6E0D2F9D"/>
    <w:rsid w:val="6E11116F"/>
    <w:rsid w:val="6E2C5A0D"/>
    <w:rsid w:val="6E4D179F"/>
    <w:rsid w:val="6E93051E"/>
    <w:rsid w:val="6F28368B"/>
    <w:rsid w:val="6F5F48E4"/>
    <w:rsid w:val="6F6019D1"/>
    <w:rsid w:val="6F8C77B6"/>
    <w:rsid w:val="6FA43036"/>
    <w:rsid w:val="6FC32718"/>
    <w:rsid w:val="6FDD509F"/>
    <w:rsid w:val="70252703"/>
    <w:rsid w:val="70442F29"/>
    <w:rsid w:val="70543150"/>
    <w:rsid w:val="7076728C"/>
    <w:rsid w:val="70A225C0"/>
    <w:rsid w:val="70B21E47"/>
    <w:rsid w:val="70C715EC"/>
    <w:rsid w:val="70CB41CC"/>
    <w:rsid w:val="70E70743"/>
    <w:rsid w:val="710E3EF4"/>
    <w:rsid w:val="7118323A"/>
    <w:rsid w:val="71307C87"/>
    <w:rsid w:val="713D0CB0"/>
    <w:rsid w:val="715D6ACF"/>
    <w:rsid w:val="719E3EA6"/>
    <w:rsid w:val="72713E3F"/>
    <w:rsid w:val="72863E4F"/>
    <w:rsid w:val="728B3C94"/>
    <w:rsid w:val="72A67657"/>
    <w:rsid w:val="72B06078"/>
    <w:rsid w:val="72BD34D1"/>
    <w:rsid w:val="72FF3300"/>
    <w:rsid w:val="73000CF9"/>
    <w:rsid w:val="73126A27"/>
    <w:rsid w:val="733534AA"/>
    <w:rsid w:val="73635474"/>
    <w:rsid w:val="73C94A09"/>
    <w:rsid w:val="73DC46E0"/>
    <w:rsid w:val="73E10EAB"/>
    <w:rsid w:val="73F03AA8"/>
    <w:rsid w:val="7404686E"/>
    <w:rsid w:val="74123FA8"/>
    <w:rsid w:val="74154608"/>
    <w:rsid w:val="741A26D9"/>
    <w:rsid w:val="74482738"/>
    <w:rsid w:val="746D05F1"/>
    <w:rsid w:val="746D4563"/>
    <w:rsid w:val="74731B85"/>
    <w:rsid w:val="747A630E"/>
    <w:rsid w:val="74816966"/>
    <w:rsid w:val="749E5F8B"/>
    <w:rsid w:val="74C72EFA"/>
    <w:rsid w:val="74D27347"/>
    <w:rsid w:val="74E4025B"/>
    <w:rsid w:val="750E4E23"/>
    <w:rsid w:val="75342426"/>
    <w:rsid w:val="753D2315"/>
    <w:rsid w:val="755E7366"/>
    <w:rsid w:val="75615004"/>
    <w:rsid w:val="75722572"/>
    <w:rsid w:val="757B1C85"/>
    <w:rsid w:val="75AE72B7"/>
    <w:rsid w:val="75AF033D"/>
    <w:rsid w:val="75F3155B"/>
    <w:rsid w:val="75F718DD"/>
    <w:rsid w:val="761F0F2E"/>
    <w:rsid w:val="761F505D"/>
    <w:rsid w:val="76AE4031"/>
    <w:rsid w:val="76B07C6D"/>
    <w:rsid w:val="76E45852"/>
    <w:rsid w:val="76E85991"/>
    <w:rsid w:val="771C79F5"/>
    <w:rsid w:val="771D24E8"/>
    <w:rsid w:val="771D706E"/>
    <w:rsid w:val="77435056"/>
    <w:rsid w:val="77464ED6"/>
    <w:rsid w:val="77674D01"/>
    <w:rsid w:val="77857276"/>
    <w:rsid w:val="77F5038A"/>
    <w:rsid w:val="77F55783"/>
    <w:rsid w:val="78083786"/>
    <w:rsid w:val="78153E8C"/>
    <w:rsid w:val="78343CE1"/>
    <w:rsid w:val="785B2C70"/>
    <w:rsid w:val="788C033F"/>
    <w:rsid w:val="78A24709"/>
    <w:rsid w:val="78BC72FB"/>
    <w:rsid w:val="78D13A33"/>
    <w:rsid w:val="78E21E4B"/>
    <w:rsid w:val="78EE2BB3"/>
    <w:rsid w:val="78F718E7"/>
    <w:rsid w:val="7971197F"/>
    <w:rsid w:val="79B33173"/>
    <w:rsid w:val="79B377E8"/>
    <w:rsid w:val="79BE26D1"/>
    <w:rsid w:val="79BE5BBE"/>
    <w:rsid w:val="79C52AA7"/>
    <w:rsid w:val="79E42E56"/>
    <w:rsid w:val="79EA5A5A"/>
    <w:rsid w:val="7A8E0F54"/>
    <w:rsid w:val="7A9B1178"/>
    <w:rsid w:val="7AD319F4"/>
    <w:rsid w:val="7AFA6374"/>
    <w:rsid w:val="7B150CBE"/>
    <w:rsid w:val="7B407803"/>
    <w:rsid w:val="7B5E1802"/>
    <w:rsid w:val="7B6332DF"/>
    <w:rsid w:val="7B642DC3"/>
    <w:rsid w:val="7B9E0270"/>
    <w:rsid w:val="7BBB3A1E"/>
    <w:rsid w:val="7BE729DC"/>
    <w:rsid w:val="7C25358F"/>
    <w:rsid w:val="7C2B5CBC"/>
    <w:rsid w:val="7C442459"/>
    <w:rsid w:val="7C7B6F55"/>
    <w:rsid w:val="7CA57D2B"/>
    <w:rsid w:val="7CAF622F"/>
    <w:rsid w:val="7CC30F06"/>
    <w:rsid w:val="7CEE78EB"/>
    <w:rsid w:val="7D08231F"/>
    <w:rsid w:val="7D2D1809"/>
    <w:rsid w:val="7D327789"/>
    <w:rsid w:val="7D496A70"/>
    <w:rsid w:val="7D607D01"/>
    <w:rsid w:val="7D966422"/>
    <w:rsid w:val="7DF221B0"/>
    <w:rsid w:val="7DFD0298"/>
    <w:rsid w:val="7DFE4C8D"/>
    <w:rsid w:val="7E1356DA"/>
    <w:rsid w:val="7EA3147C"/>
    <w:rsid w:val="7EB9366C"/>
    <w:rsid w:val="7ED37091"/>
    <w:rsid w:val="7EE73054"/>
    <w:rsid w:val="7EF1453B"/>
    <w:rsid w:val="7EF47E20"/>
    <w:rsid w:val="7F2037BD"/>
    <w:rsid w:val="7F2944B0"/>
    <w:rsid w:val="7F321906"/>
    <w:rsid w:val="7F373388"/>
    <w:rsid w:val="7F6D21B7"/>
    <w:rsid w:val="7FBE5C1A"/>
    <w:rsid w:val="7FC53A36"/>
    <w:rsid w:val="7FDE3C9D"/>
    <w:rsid w:val="7FE54E46"/>
    <w:rsid w:val="7FF53094"/>
  </w:rsid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2"/>
    <w:qFormat/>
    <w:uiPriority w:val="0"/>
    <w:pPr>
      <w:keepNext/>
      <w:keepLines/>
      <w:spacing w:beforeAutospacing="0" w:afterAutospacing="0" w:line="560" w:lineRule="exact"/>
      <w:jc w:val="center"/>
      <w:outlineLvl w:val="0"/>
    </w:pPr>
    <w:rPr>
      <w:rFonts w:eastAsia="黑体"/>
      <w:kern w:val="44"/>
      <w:sz w:val="32"/>
      <w:szCs w:val="20"/>
    </w:rPr>
  </w:style>
  <w:style w:type="paragraph" w:styleId="3">
    <w:name w:val="heading 2"/>
    <w:basedOn w:val="1"/>
    <w:next w:val="1"/>
    <w:link w:val="11"/>
    <w:qFormat/>
    <w:uiPriority w:val="0"/>
    <w:pPr>
      <w:keepNext/>
      <w:keepLines/>
      <w:spacing w:beforeLines="0" w:beforeAutospacing="0" w:afterLines="0" w:afterAutospacing="0" w:line="560" w:lineRule="exact"/>
      <w:ind w:firstLine="640" w:firstLineChars="200"/>
      <w:outlineLvl w:val="1"/>
    </w:pPr>
    <w:rPr>
      <w:rFonts w:ascii="Arial" w:hAnsi="Arial" w:eastAsia="黑体"/>
      <w:kern w:val="0"/>
      <w:sz w:val="32"/>
      <w:szCs w:val="20"/>
    </w:rPr>
  </w:style>
  <w:style w:type="paragraph" w:styleId="4">
    <w:name w:val="heading 3"/>
    <w:basedOn w:val="1"/>
    <w:next w:val="1"/>
    <w:qFormat/>
    <w:uiPriority w:val="9"/>
    <w:pPr>
      <w:keepNext/>
      <w:keepLines/>
      <w:spacing w:before="200" w:beforeLines="200" w:beforeAutospacing="0" w:after="100" w:afterLines="100" w:afterAutospacing="0" w:line="560" w:lineRule="exact"/>
      <w:jc w:val="center"/>
      <w:outlineLvl w:val="2"/>
    </w:pPr>
    <w:rPr>
      <w:sz w:val="44"/>
    </w:rPr>
  </w:style>
  <w:style w:type="character" w:default="1" w:styleId="8">
    <w:name w:val="Default Paragraph Font"/>
    <w:unhideWhenUsed/>
    <w:uiPriority w:val="1"/>
  </w:style>
  <w:style w:type="table" w:default="1" w:styleId="9">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Layout w:type="fixed"/>
      <w:tblCellMar>
        <w:top w:w="0" w:type="dxa"/>
        <w:left w:w="108" w:type="dxa"/>
        <w:bottom w:w="0" w:type="dxa"/>
        <w:right w:w="108" w:type="dxa"/>
      </w:tblCellMar>
    </w:tblPr>
    <w:tcPr>
      <w:textDirection w:val="lrTb"/>
    </w:tcPr>
  </w:style>
  <w:style w:type="paragraph" w:styleId="5">
    <w:name w:val="footer"/>
    <w:basedOn w:val="1"/>
    <w:unhideWhenUsed/>
    <w:qFormat/>
    <w:uiPriority w:val="99"/>
    <w:pPr>
      <w:tabs>
        <w:tab w:val="center" w:pos="4153"/>
        <w:tab w:val="right" w:pos="8306"/>
      </w:tabs>
      <w:snapToGrid w:val="0"/>
      <w:jc w:val="left"/>
    </w:pPr>
    <w:rPr>
      <w:sz w:val="18"/>
    </w:rPr>
  </w:style>
  <w:style w:type="paragraph" w:styleId="6">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unhideWhenUsed/>
    <w:uiPriority w:val="39"/>
    <w:pPr>
      <w:spacing w:line="560" w:lineRule="exact"/>
      <w:ind w:left="630" w:leftChars="300" w:right="630" w:rightChars="300"/>
    </w:pPr>
    <w:rPr>
      <w:rFonts w:eastAsia="楷体"/>
      <w:sz w:val="32"/>
    </w:rPr>
  </w:style>
  <w:style w:type="paragraph" w:customStyle="1" w:styleId="10">
    <w:name w:val="目录"/>
    <w:basedOn w:val="1"/>
    <w:uiPriority w:val="0"/>
    <w:pPr>
      <w:spacing w:line="560" w:lineRule="exact"/>
      <w:ind w:firstLine="640" w:firstLineChars="200"/>
      <w:jc w:val="both"/>
    </w:pPr>
    <w:rPr>
      <w:rFonts w:eastAsia="楷体"/>
      <w:sz w:val="32"/>
    </w:rPr>
  </w:style>
  <w:style w:type="character" w:customStyle="1" w:styleId="11">
    <w:name w:val="标题 2 Char"/>
    <w:link w:val="3"/>
    <w:qFormat/>
    <w:uiPriority w:val="0"/>
    <w:rPr>
      <w:rFonts w:ascii="Arial" w:hAnsi="Arial" w:eastAsia="黑体"/>
      <w:sz w:val="32"/>
    </w:rPr>
  </w:style>
  <w:style w:type="character" w:customStyle="1" w:styleId="12">
    <w:name w:val="标题 1 Char"/>
    <w:link w:val="2"/>
    <w:qFormat/>
    <w:uiPriority w:val="0"/>
    <w:rPr>
      <w:rFonts w:ascii="Calibri" w:hAnsi="Calibri" w:eastAsia="黑体"/>
      <w:kern w:val="44"/>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9</Pages>
  <Words>562</Words>
  <Characters>3204</Characters>
  <Lines>26</Lines>
  <Paragraphs>7</Paragraphs>
  <ScaleCrop>false</ScaleCrop>
  <LinksUpToDate>false</LinksUpToDate>
  <CharactersWithSpaces>3759</CharactersWithSpaces>
  <Application>WPS Office_10.1.0.5457_F1E327BC-269C-435d-A152-05C5408002CA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2016-08-23T02:18:00Z</dcterms:created>
  <dc:creator>Sky123.Org</dc:creator>
  <cp:lastModifiedBy>PC153</cp:lastModifiedBy>
  <dcterms:modified xsi:type="dcterms:W3CDTF">2020-08-15T06:53:30Z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