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海南省电力建设与保护条例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（2011年5月31日海南省第四届人民代表大会常务委员会第二十二次会议通过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根据</w:t>
      </w:r>
      <w:bookmarkStart w:id="0" w:name="_GoBack"/>
      <w:r>
        <w:rPr>
          <w:rFonts w:hint="eastAsia" w:ascii="楷体_GB2312" w:hAnsi="楷体_GB2312" w:eastAsia="楷体_GB2312" w:cs="楷体_GB2312"/>
          <w:sz w:val="32"/>
          <w:szCs w:val="32"/>
        </w:rPr>
        <w:t>2015年9月25日</w:t>
      </w:r>
      <w:bookmarkEnd w:id="0"/>
      <w:r>
        <w:rPr>
          <w:rFonts w:hint="eastAsia" w:ascii="楷体_GB2312" w:hAnsi="楷体_GB2312" w:eastAsia="楷体_GB2312" w:cs="楷体_GB2312"/>
          <w:sz w:val="32"/>
          <w:szCs w:val="32"/>
        </w:rPr>
        <w:t>海南省第五届人民代表大会常务委员会第十七次会议《关于修改〈海南省电力建设与保护条例〉的决定》修正）</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right="420" w:rightChars="200"/>
        <w:jc w:val="center"/>
        <w:textAlignment w:val="auto"/>
        <w:outlineLvl w:val="9"/>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lang w:eastAsia="zh-CN"/>
        </w:rPr>
        <w:t>录</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电力规划与建设</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电力设施保护</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海底电缆保护</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电能保护</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79" w:lineRule="exact"/>
        <w:ind w:left="420" w:leftChars="200" w:right="0" w:rightChars="0" w:firstLine="0" w:firstLineChars="0"/>
        <w:jc w:val="left"/>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附则</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right="0" w:right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为了促进电力事业的发展，维护公共安全和供用电秩序，保护电力投资者、经营者、使用者和其他相关方的合法权益，根据《中华人民共和国电力法》等法律法规，结合本省实际，制定本条例。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本省行政区域内的电力建设和电力保护等活动，适用本条例。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省和市、县、自治县人民政府应当加强对电力建设和保护工作的领导，将电力发展事业纳入国民经济和社会发展规划及年度计划，协调、解决电力建设和保护工作中的重大问题。</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发展和改革主管部门负责本行政区域内的电力规划和建设管理工作；工业和信息化主管部门负责本行政区域内的电力运行和保护管理工作。能源监管机构对本行政区域内的电力安全、电能质量和供电服务质量实施监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县级以上人民政府规划、建设、价格、国土、公安、林业、园林、质量技术监督等有关主管部门，按照职责分工做好电力建设和保护工作。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县级以上人民政府海洋与渔业主管部门根据规定的权限，负责本行政区域毗邻海域海底电缆建设的监督管理和保护工作。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乡（镇）人民政府、街道办事处应当协助有关主管部门做好所辖区域内的电力建设和保护工作。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村（居）民委员会应当协助当地人民政府及有关主管部门做好电力建设与保护工作。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省人民政府和市、县、自治县人民政府应当组织有关部门制定本行政区域内的电力事故灾害应急预案，建立应急救援组织和电力事故灾害应急救援物资储备制度，按照规定程序报批后实施。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电力企业和其他电力设施所有人、管理人应当依法履行电力设施和电能保护义务，建立健全安全管理制度和电力安全生产应急预案，依法制止危害电力安全运行、供应与使用秩序的违法行为。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电力保护坚持预防为主、综合治理的方针，实行发展和改革主管部门、工业和信息化主管部门、能源监管机构、公安机关、电力企业和公民相结合的原则。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任何单位和个人对危害、破坏电力设施和盗窃电力设备器材、电能的行为，有权制止并向工业和信息化主管部门、公安机关和其他有关部门举报。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工业和信息化主管部门对维护电力设施安全做出显著贡献的单位和个人应当给予表彰或者奖励。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电力规划与建设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省发展和改革主管部门应当根据本省国民经济和社会发展规划，组织编制全省电力发展规划报省人民政府批准后实施，并纳入城乡规划和土地利用总体规划。</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全省电力发展规划应当符合土地利用总体规划、城乡总体规划、海洋功能区划，并与林业、水利、给排水、铁路、公路、航道、港口、环境保护、电信等规划相协调。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省和市、县、自治县发展和改革主管部门应当根据电力发展规划，会同城乡规划行政主管部门编制城乡电力建设规划，报本级人民政府批准后实施。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纳入城乡规划和土地利用总体规划的电力建设用地，不得擅自改变用途。</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电力生产企业、供电企业应当根据电力建设规划，负责组织发电设施、变电设施和电力线路设施的建设，逐步满足用户的生产生活用电需求。</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电力设施建设应当依照国家有关规定办理规划许可、施工许可、海域使用许可、环境影响评价、安全评价、工程质量监督等相关手续。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新建、改建、扩建电力设施，应当依照法律法规和国家技术规范强制性的要求，与周围已建其他设施保持安全距离。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其他工程建设需要迁移、改造电力设施的，或者电力设施在新建、改建或者扩建中妨碍其他设施的，有关单位经协商一致并办理相关手续后方可施工。迁移、改造相关设施的费用由提出迁移、改造要求的一方承担。法律法规另有规定的除外。</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未经协商一致，擅自施工造成损害的，由擅自施工的单位承担责任。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相关行政主管部门审批项目时，应当充分考虑电力设施建设与保护需要。对可能影响电力设施安全运行的，相关行政部门应当与工业和信息化主管部门协商解决。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城市建成区和县、自治县人民政府所在地镇及其他有条件的镇不宜新建架空电力管线；对已有的架空管线，应当逐步改为地下敷设或者采取隐蔽措施。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根据电力建设规划新建、改建、扩建输电线路，确需穿越土地并影响土地使用的，电力设施建设单位应当与土地所有权人或者使用权人协商解决，并依照有关规定对土地所有权人或者使用权人给予一次性经济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电力建设规划新建、改建、扩建架空电力线路通过林地时，应当依法办理占用林地手续；需要砍伐、清除林木的，应当依法办理林木采伐手续。电力设施建设单位应当依法给予林地、林木所有权人或者使用权人一次性经济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建设项目取得建设工程规划许可后，发展和改革主管部门应当根据建设工程规划许可和电力设施保护范围的要求，对依法需要确定的电力设施保护范围和电力线路保护区进行公告。在公告明示的电力线路保护区内，突击抢种的植物、抢建的建筑物及其他附着物，需要砍伐或者拆除的，不予补偿；公告前已有的植物、建筑物、构筑物，需要修剪、砍伐或者拆除的，电力设施建设单位应当给予一次性经济补偿，并依法办理相关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经济补偿的标准应当与国民经济和社会发展水平相适应。具体办法由省人民政府制定。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电力设施建设单位未能与植物、建筑物、构筑物的所有权人就一次性经济补偿达成协议的，可向所在地市、县级人民政府申请依法征收。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新建架空电力线路不得跨越储存易燃、易爆物品仓库的区域。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架空电力线路一般不得跨越房屋。因地理条件和出线限制等特殊情况，确需跨越房屋的，电力设施建设单位应当与被跨越房屋所有者签订迁移或者防护补偿协议，制定科学、安全、合理的处置方案，按照国家有关技术规程采取增加杆塔高度、缩短档距等安全措施后方可施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电力设施建设单位与被跨越房屋所有者未能就房屋迁移、补偿达成一致的，可向所在地市、县级人民政府申请依法征收。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任何单位和个人不得擅自增加被跨越房屋的原有高度。被跨越房屋的物体高度或者房屋周边延伸出的物体长度，应当保持符合法律法规和国家技术规范强制性要求的安全间距。</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新建住宅小区供配电设施的建设应当按照电力建设规划及国家和本省相关技术规范，与建设项目同步设计、同步施工、同步投入使用。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现有住宅小区供配电设施未达到国家和本省相关技术规范要求的，应当进行更新改造。</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住宅小区供配电设施的建设、改造和维护可以由供电企业依法承担。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住宅小区供配电设施建设、改造、维护和管理的具体办法，由省人民政府制定。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规划和设计铁路、公路、航道（水道）、桥梁、水利工程设施应当在征求相关部门和单位意见后，按规定预留电缆通道。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电力设施保护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工业和信息化主管部门应当组织电力企业及其他电力设施所有人或者管理人在以下地点设立并维护电力保护标志：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（一）在必要的架空电力线路保护区的区界上，应当设立标志，并标明保护区的宽度和保护规定；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（二）在架空电力线路导线跨越重要公路和航道的区段，应当设立标志，并标明导线距穿越物体之间的安全距离；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（三）地下电缆敷设后，应当设立永久性标志，并将地下电缆所在位置书面通知有关部门。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电力设施所有人或者管理人应当在下列地点和位置设置安全警示标志：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（一）人口密集地段的架空电力线路杆塔；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（二）人员活动频繁区域的架空电力线路杆塔；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（三）车辆、自走式机械频繁通行地段的架空电力线路杆塔；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（四）电力线路上的变压器平台或者围栏；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（五）变电站、换流站、开闭所、电缆终端站围墙（栏）；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（六）城镇繁华地段电力电缆沟盖板；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（七）电力设施附属的输煤、输油、输气、输灰、输水、供热、供冷、供汽的管沟（线）；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（八）海底电缆、江河电缆的两岸及电缆敷设所经海域、河道。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任何单位和个人不得破坏电力设施及电力保护标志和安全警示标志。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任何单位和个人不得实施下列危害发电、输电、变电设施的行为：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（一）扰乱发电厂、变电站、换流站、开关站等厂（站）生产和工作秩序；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（二）擅自攀爬杆塔、拉线、变压器平台等电力设施或者拆卸电力设施上的器材、部件；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（三）向电力线路、变电设施投掷物品或者射击；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（四）在变电站围墙外缘300米、架空电力线路两侧各300米内放风筝、气球等，或者在变电站围墙外缘1000米、架空电力线路两侧各1000米内燃放“孔明灯”等可能影响电力设施安全的升空物体；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（五）在用于水力发电的水库内，进入距水工建筑物300米区域内捕鱼、游泳、划船及其他可能危及水工建筑物安全的行为；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（六）利用杆塔、拉线作起重牵引地锚；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（七）在杆塔、拉线上拴系牲畜、悬挂物体、攀附农作物；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（八）在杆塔内（不含杆塔与杆塔之间）或者杆塔与拉线之间修筑道路；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（九）擅自移动或者损害电力生产设施、标志物；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（十）侵入、破坏发电、输电、变电生产计算机信息系统，电力调度信息系统或者电力交易信息系统；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（十一）其他危害发电、输电、变电设施的行为。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仿宋_GB2312" w:hAnsi="仿宋_GB2312" w:eastAsia="仿宋_GB2312" w:cs="仿宋_GB2312"/>
          <w:sz w:val="32"/>
          <w:szCs w:val="32"/>
        </w:rPr>
        <w:t xml:space="preserve">  在电力线路保护区内不得种植危及电力设施安全的高秆植物，不得堆放可能危及电力设施安全的物品。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对电力线路保护区内原有不符合法律法规和国家技术规范强制性要求的安全距离规定的高秆植物，其所有者应当在电力企业告知的期限内予以修剪；拒不修剪的，由电力企业自行修剪。</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电力线路保护区内新种植或者自然生长的高秆植物可能危及电力设施安全的，应当按照以下规定办理：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城镇规划区范围内的，电力设施产权人或者管理人应当征得园林绿化主管部门同意后按照规定的安全距离，以兼顾线路安全和树木正常生长为原则直接予以修剪、砍伐，或者请求园林绿化主管部门予以修剪、砍伐，并不予赔偿、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（二）在城镇规划区范围外的，电力设施产权人或者管理人可以按照规定的安全距离直接予以修剪；严重危及电力设施安全的，可以向林业主管部门申请砍伐，并不予赔偿、补偿。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因不可抗力、自然灾害或者生产、交通等事故，造成高杆植物倾斜、倒伏直接危及电力设施安全的，电力企业可以先行修剪、扶正、砍伐或者采取其他必要的安全处理措施，并应当自采取措施之日起3日内向高杆植物管理人报告并补办相关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对电力设施保护范围周边和电力线路保护区外危及电力设施安全的高秆植物，参照前款的规定处理。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涉及古树名木的，应当按照法律法规的有关规定执行。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根据绿化和公路建设规划的要求，确需在已建架空电力线路保护区内种植树木的，树木管理单位应当征得工业和信息化主管部门同意，种植低矮树种，并负责修剪，保持树木自然生长最终高度与架空电力线路导线之间的距离，符合法律法规和国家技术规范强制性要求的安全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  任何单位和个人从事下列行为，应当报市、县、自治县人民政府工业和信息化主管部门批准，并编制完备的施工方案和采取必要的安全措施后，方可进行：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（一）在架空电力线路和电力电缆线路保护区内进行打桩、钻探、开挖等作业；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（二）起重机械的任何部位进入架空电力线路保护区进行施工；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（三）小于导线距穿越物体之间的安全距离，通过架空电力线路保护区；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（四）超过4.2米高度的车辆或者机械通过架空电力线路保护区；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施工单位在取得批准后，应当及时将施工方案通知电力设施产权人或者管理人。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任何单位和个人不得在距架空电力线路杆塔、拉线基础外缘的下列范围内进行取土、打桩、钻探、开挖或者倾倒酸、碱、盐及其他有害化学物品的活动：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（一）35千伏及以下电力线路杆塔、拉线周围五米的区域；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（二）66千伏及以上电力线路杆塔、拉线周围10米的区域。</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在电力线路保护区外进行可能危及架空电力线路杆塔、拉线基础安全的作业时，应当遵守下列规定：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（一）预留人员、车辆通行的道路，以适应电力设施的维护、检修和事故抢修；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（二）不得影响基础的稳定，可能导致基础不稳定的，应当修筑符合技术标准或者安全要求的加固护坡；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（三）不得损害电力设施接地装置或者改变其埋设深度。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任何单位和个人从事下列行为，应当事先编制完备的施工方案，征得电力设施产权人或者管理人同意并采取必要安全措施后方可进行：</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（一）其他管道与电力管道交叉通过或者在电力电缆沟内埋设其他管道；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（二）在同杆架设其他电力线、通信线、广播电视传输线、安装广播喇叭或者悬挂广告牌等物体。</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从事废旧电力设施器材、废旧金属收购的经营单位和个人应当按照国家有关规定，向所在地县级人民政府公安机关备案。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废旧电力设施器材、废旧金属收购经营单位和个人应当建立收购台账，如实登记出售人的单位名称、住所或者姓名、身份证件号码、通讯方式、住址以及废旧电力设施、废旧金属的来源、规格、数量和去向等内容。发现有公安机关通报寻查的赃物或者有赃物嫌疑的物品时，应当及时报告公安机关。收购台账的保存期不得少于2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禁止任何单位和个人收购无合法来源证明的电线、电缆和来源不明的铜、铝、铅等有色金属。</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海底电缆保护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省人民政府海洋行政主管部门应当根据备案的注册登记资料，会同有关部门和单位按照下列规定划定海底电缆保护区并向社会公告：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（一）沿海宽阔海域为海底电缆两侧各500米；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（二）海湾等狭窄海域为海底电缆两侧各100米；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（三）海港区内为海底电缆两侧各50米。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省海洋行政主管部门应当组织电力企业设置并维护海底电缆保护区和海底电缆线路等标识。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省人民政府海洋行政主管部门应当每年向社会发布海底电缆公告。海底电缆公告包括海底电缆的名称、编号、注册号、海底电缆所有者、用途、总长度（公里）、路由起止点（经纬度）、示意图、标识等。</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海上作业者在从事海上作业前，应当了解作业海区海底电缆的铺设情况。对可能损害海底电缆安全的，应当采取有效的防护措施。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禁止在海底电缆保护区内从事挖砂、钻探、打桩、抛锚、拖锚、底拖捕捞、张网、养殖或者其它可能危及海底电缆安全的海上作业。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确需进入海底电缆保护区内从事海上作业的，海上作业者应当与海底电缆产权单位协商，就相关的技术处理、保护措施和损害赔偿等事项达成书面协议。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上作业钩住海底电缆管道的，海上作业者应当立即停止作业，不得擅自将海底电缆管道拖起、拖断或者砍断，并报告所在地海洋行政主管部门或者海底电缆管道所有者采取相应措施。必要时，海上作业者应当放弃船锚或者其他钩挂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省和沿海市、县、自治县人民政府海洋行政主管部门应当依法对海底电缆保护区进行定期巡航检查，制止和查处破坏海底电缆的行为。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海底电缆产权单位应当按照有关标准和规定，对海底电缆定期复查、监视并采取保护、维修措施。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海底电缆产权单位对海底电缆进行维修、改造、拆除、废弃时，应当依法办理相关手续并向社会公告。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电能保护</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省人民政府和市、县、自治县人民政府及其有关部门应当鼓励和支持开展节约用电和保护电能的技术创新，积极扶持风能、太阳能、生物质能等可再生能源转化为新电能技术的推广。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供电企业应当与依法取得行政许可或者报送备案的可再生能源发电企业签订并网协议，全额收购其电网覆盖范围内可再生能源并网发电项目的上网电量，并为可再生能源发电提供送出线路等上网服务。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对于高能耗、环境污染严重等列入国家限制类、禁止发展类的企业或者生产设备的用电，供电企业应当按照有关规定实行差别电价、限制用电或者终止供电。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供电企业依照国家有关规定定期或者不定期对用电情况进行检查时，用户应当配合，不得拒绝、阻碍。</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供电企业用电检查人员实施现场检查时不得少于两人，并应当出示用电检查证件。检查时，不得妨碍用户的正常生产生活秩序。</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供电企业用电检查人员发现用户有窃电行为的，应当予以制止，并制作用电检查笔录，保存证据。必要时，可以依法采取录像、摄影、现场封存窃电装置等方式收集有关证据。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禁止任何单位和个人以任何方式窃电。禁止教唆、协助他人窃电以及传授窃电技术、方法。禁止生产、销售窃电装置。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前款所称窃电行为是指以非法使用电能为目的，采用下列手段实施的不计或者少计电量、电费的用电行为：</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（一）擅自在供电企业的供电设施上接线；</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（二）绕越供电企业的用电计量装置；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（三）伪造或者开启法定的或者授权的计量检定机构加封的用电计量装置封印；</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（四）故意损坏供电企业的用电计量装置使其失效；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（五）故意使供电企业的用电计量装置计量不准；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（六）使用伪造、非法充值的电费卡；</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（七）安装使用特制的窃电装置；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（八）采用其他方法窃电。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窃电量按照下列方法确定：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（一）以本条例第三十条第二款第（一）项所列方法窃电的，按照所接设备的额定容量（千伏安）乘以窃电时间计算；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以本条例第三十条第二款第（二）项至第（八）项所列方法窃电的，所窃电量按计费电能表标定的最大额定电流值（对装有限流器的，按限流器整定电流值）所指的容量（千伏安）乘以实际使用时间计算确定；通过互感器窃电的，计算窃电量时还应当乘以相应的互感器倍率计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（三）以有关部门提供的合法材料记载的电量确定。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窃电时间无法查明的，窃电日数按照180日计算，生产经营用电每日按照18小时计算，其他用电每日按照12小时计算。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窃电金额按照窃电量乘以窃电时的销售目录电价计算。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供电企业对有窃电行为的用户，可以中止供电。但应当采取必要防范措施，避免因中止供电造成设备、财产重大损失和人身伤害，避免影响其他用户正常用电。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止供电后，供电企业应当在24小时内制作书面中止供电通知书和窃电处理通知书送达对方。用户停止窃电、消除危害、交付所窃电量电费并承担补交电费3倍的违约使用电费后，供电企业应当在24小时内对居民用户恢复供电，对非居民用户应当在2个工作日内恢复供电。</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供电企业应当抄表到户，按照价格行政主管部门批准的电价，依据经依法检定合格的用电计量装置的记录计算电费，按期向最终用户收取或者通知用户交纳。</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供电企业可以根据具体情况，与用户协商确定采取预收方式收取电费。预收电费装置由供电企业免费提供。</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供电企业定期检验、更换用电计量装置的，费用由供电企业承担，用户应当予以配合。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在发电、供电系统正常运行的情况下，供电企业应当按照国家规定的供电质量标准连续向用户供电。因发电、供电系统发生故障需要停电、限电时，供电企业应当按照省人民政府批准的有序用电方案进行停电或者限电并予以公告，同时报工业和信息化主管部门备案。</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供电企业因供电设施计划检修需要停电时，应当提前7天通知用户或者进行公告；因供电设施临时检修需要停止供电时，应当提前24小时通知重要用户并公告。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用户对供电企业认定的窃电行为或者中止供电有异议的，可以向工业和信息化主管部门投诉。工业和信息化主管部门应当及时调查，并在3个工作日内做出是否恢复供电的决定。用户或者供电企业对工业和信息化主管部门的决定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第三十六条 </w:t>
      </w:r>
      <w:r>
        <w:rPr>
          <w:rFonts w:hint="eastAsia" w:ascii="仿宋_GB2312" w:hAnsi="仿宋_GB2312" w:eastAsia="仿宋_GB2312" w:cs="仿宋_GB2312"/>
          <w:sz w:val="32"/>
          <w:szCs w:val="32"/>
        </w:rPr>
        <w:t xml:space="preserve"> 供电企业根据政府有关主管部门的书面要求，可以对从事违法生产、经营的企业、个体工商户实施断电措施。</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违反本条例第十五条、第十六条规定，破坏电力保护标志、安全警示标志，危害电力设施的，由工业和信息化主管部门责令改正，处1000元以上1万元以下的罚款。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违反本条例第十九条规定，未经批准或者未采取安全措施在电力线路保护区内进行作业，危及电力设施安全的，由工业和信息化主管部门责令改正，处500元以上5000元以下的罚款；情节严重的，处5000元以上2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违反本条例第二十一条规定，未征得电力设施产权人或者管理人同意，埋设管道或者架设、安装、悬挂相关物体的，由工业和信息化主管部门责令改正，处300元以上3000元以下的罚款；情节严重的，处3000元以上1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违反本条例第二十二条第一款、第二款规定，废旧电力设施器材、废旧金属的收购经营单位和个人没有向公安机关备案，或者没有建立收购台账或者收购台账的保存期少于2年的，由市、县、自治县人民政府公安机关处以500元以上5000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单位和个人违反本条例第二十二条第三款规定，收购无合法来源证明的电线、电缆和来源不明的铜、铝、铅等有色金属的，由市、县、自治县人民政府公安机关处以3万元以上5万元以下的罚款；情节严重的，由原发证（照）机关依法吊销经营许可证和营业执照。</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违反本条例第二十五条规定，在海底电缆保护区内从事危及海底电缆安全的海上作业的，由沿海市、县、自治县人民政府海洋行政主管部门责令限期改正，处2000元以上1万元以下的罚款；情节严重的，处1万元以上10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违反本条例第三十条第一款规定，生产、销售窃电装置的，由市、县、自治县人民政府质量技术监督部门或者工商部门责令停止违法行为，没收违法所得和窃电装置，并处5000元以上5万元以下的罚款。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违反本条例第三十四条规定，供电企业未按国家规定的质量标准供电或者未事先通知用户即中断供电的，由能源监管机构责令改正，给予警告；情节严重的，对直接负责的主管人员和其他直接责任人员给予处分。给用户造成损失的，应当依法承担赔偿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用户在《供用电合同》规定的期限内未交清电费的，应当承担电费滞纳的违约责任。电费违约金从逾期之日起计算至交纳之日止。供电企业可以从逾期之日起，每日加收电费违约金，总额不超过所欠电费总额。电费违约金按照国家有关规定计算。</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违反本条例有关规定造成电力设施损坏的，当事人应当恢复原状、赔偿损失；违反《中华人民共和国治安管理处罚法》的规定的，由公安机关进行处罚；构成犯罪的，依法追究刑事责任。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违反本条例规定的行为，本条例未设定处罚但其他法律法规已设定处罚规定的，依照有关法律法规的规定处罚。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0" w:firstLine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附则</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本条例具体应用问题由省人民政府负责解释。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本条例自2011年8月1日起施行。</w:t>
      </w:r>
    </w:p>
    <w:p>
      <w:pPr>
        <w:keepNext w:val="0"/>
        <w:keepLines w:val="0"/>
        <w:pageBreakBefore w:val="0"/>
        <w:widowControl w:val="0"/>
        <w:kinsoku/>
        <w:wordWrap/>
        <w:overflowPunct/>
        <w:topLinePunct w:val="0"/>
        <w:autoSpaceDE/>
        <w:autoSpaceDN/>
        <w:bidi w:val="0"/>
        <w:adjustRightInd/>
        <w:snapToGrid/>
        <w:spacing w:line="579" w:lineRule="exact"/>
        <w:ind w:right="0" w:rightChars="0"/>
        <w:jc w:val="both"/>
        <w:textAlignment w:val="auto"/>
        <w:outlineLvl w:val="9"/>
        <w:rPr>
          <w:rFonts w:hint="eastAsia" w:ascii="宋体" w:hAnsi="宋体" w:eastAsia="宋体" w:cs="宋体"/>
          <w:sz w:val="32"/>
          <w:szCs w:val="32"/>
        </w:rPr>
      </w:pPr>
    </w:p>
    <w:sectPr>
      <w:headerReference r:id="rId3" w:type="default"/>
      <w:footerReference r:id="rId5" w:type="default"/>
      <w:headerReference r:id="rId4" w:type="even"/>
      <w:footerReference r:id="rId6" w:type="even"/>
      <w:pgSz w:w="11906" w:h="16838"/>
      <w:pgMar w:top="2098" w:right="1474" w:bottom="1984" w:left="1587" w:header="851" w:footer="1701"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1</w:t>
                    </w:r>
                    <w:r>
                      <w:rPr>
                        <w:rFonts w:hint="eastAsia" w:ascii="宋体" w:hAnsi="宋体" w:eastAsia="宋体" w:cs="宋体"/>
                        <w:sz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2</w:t>
                          </w:r>
                          <w:r>
                            <w:rPr>
                              <w:rFonts w:hint="eastAsia" w:ascii="宋体" w:hAnsi="宋体" w:eastAsia="宋体" w:cs="宋体"/>
                              <w:sz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28"/>
                        <w:lang w:eastAsia="zh-CN"/>
                      </w:rPr>
                    </w:pPr>
                    <w:r>
                      <w:rPr>
                        <w:rFonts w:hint="eastAsia" w:ascii="宋体" w:hAnsi="宋体" w:eastAsia="宋体" w:cs="宋体"/>
                        <w:sz w:val="28"/>
                        <w:lang w:eastAsia="zh-CN"/>
                      </w:rPr>
                      <w:fldChar w:fldCharType="begin"/>
                    </w:r>
                    <w:r>
                      <w:rPr>
                        <w:rFonts w:hint="eastAsia" w:ascii="宋体" w:hAnsi="宋体" w:eastAsia="宋体" w:cs="宋体"/>
                        <w:sz w:val="28"/>
                        <w:lang w:eastAsia="zh-CN"/>
                      </w:rPr>
                      <w:instrText xml:space="preserve"> PAGE  \* MERGEFORMAT </w:instrText>
                    </w:r>
                    <w:r>
                      <w:rPr>
                        <w:rFonts w:hint="eastAsia" w:ascii="宋体" w:hAnsi="宋体" w:eastAsia="宋体" w:cs="宋体"/>
                        <w:sz w:val="28"/>
                        <w:lang w:eastAsia="zh-CN"/>
                      </w:rPr>
                      <w:fldChar w:fldCharType="separate"/>
                    </w:r>
                    <w:r>
                      <w:rPr>
                        <w:rFonts w:hint="eastAsia" w:ascii="宋体" w:hAnsi="宋体" w:eastAsia="宋体" w:cs="宋体"/>
                        <w:sz w:val="28"/>
                      </w:rPr>
                      <w:t>2</w:t>
                    </w:r>
                    <w:r>
                      <w:rPr>
                        <w:rFonts w:hint="eastAsia" w:ascii="宋体" w:hAnsi="宋体" w:eastAsia="宋体" w:cs="宋体"/>
                        <w:sz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F52336"/>
    <w:rsid w:val="3A946502"/>
    <w:rsid w:val="3BAB4B0A"/>
    <w:rsid w:val="469E2648"/>
    <w:rsid w:val="55424900"/>
    <w:rsid w:val="59145715"/>
    <w:rsid w:val="630C2A1D"/>
    <w:rsid w:val="6C88478A"/>
    <w:rsid w:val="6DF52336"/>
    <w:rsid w:val="7AD6609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2017-01-20T09:16:00Z</dcterms:created>
  <dc:creator>Administrator</dc:creator>
  <cp:lastModifiedBy>rdlenovo</cp:lastModifiedBy>
  <dcterms:modified xsi:type="dcterms:W3CDTF">2017-02-17T07:34:38Z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