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rPr>
          <w:rFonts w:hint="eastAsia"/>
        </w:rPr>
      </w:pPr>
    </w:p>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rPr>
          <w:rFonts w:hint="eastAsia"/>
        </w:rPr>
      </w:pPr>
    </w:p>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pPr>
      <w:r>
        <w:rPr>
          <w:rFonts w:hint="eastAsia"/>
        </w:rPr>
        <w:t>沈阳市技术市场条例</w:t>
      </w:r>
    </w:p>
    <w:p>
      <w:pPr>
        <w:pStyle w:val="7"/>
        <w:rPr>
          <w:rFonts w:hint="eastAsia"/>
        </w:rPr>
      </w:pPr>
    </w:p>
    <w:p>
      <w:pPr>
        <w:pStyle w:val="7"/>
      </w:pPr>
      <w:bookmarkStart w:id="6" w:name="_GoBack"/>
      <w:bookmarkEnd w:id="6"/>
      <w:r>
        <w:rPr>
          <w:rFonts w:hint="eastAsia"/>
        </w:rPr>
        <w:t>（1996年7月26日沈阳市第十一届人民代表大会常务委员会第二十四次会议通过  1996年9月28日辽宁省第八届人民代表大会常务委员会第二十三次会议批准  根据2004年10月26日沈阳市第十三届人民代表大会常务委员会第十六次会议通过  2004年11月26日辽宁省第十届人民代表大会常务委员会第十五次会议批准《关于修改〈沈阳市技术市场条例〉的决定》修正）</w:t>
      </w:r>
    </w:p>
    <w:p>
      <w:pPr>
        <w:spacing w:line="560" w:lineRule="exact"/>
        <w:ind w:firstLine="640" w:firstLineChars="200"/>
        <w:rPr>
          <w:rFonts w:ascii="楷体" w:hAnsi="楷体" w:eastAsia="楷体" w:cs="楷体"/>
          <w:sz w:val="32"/>
          <w:szCs w:val="32"/>
        </w:rPr>
      </w:pPr>
    </w:p>
    <w:p>
      <w:pPr>
        <w:spacing w:line="560" w:lineRule="exact"/>
        <w:jc w:val="center"/>
        <w:rPr>
          <w:rFonts w:ascii="楷体" w:hAnsi="楷体" w:eastAsia="楷体" w:cs="楷体"/>
          <w:sz w:val="32"/>
          <w:szCs w:val="32"/>
        </w:rPr>
      </w:pPr>
      <w:r>
        <w:rPr>
          <w:rFonts w:hint="eastAsia" w:ascii="楷体" w:hAnsi="楷体" w:eastAsia="楷体" w:cs="楷体"/>
          <w:sz w:val="32"/>
          <w:szCs w:val="32"/>
        </w:rPr>
        <w:t>目    录</w:t>
      </w:r>
    </w:p>
    <w:p>
      <w:pPr>
        <w:spacing w:line="560" w:lineRule="exact"/>
        <w:jc w:val="center"/>
        <w:rPr>
          <w:rFonts w:ascii="楷体" w:hAnsi="楷体" w:eastAsia="楷体" w:cs="楷体"/>
          <w:sz w:val="32"/>
          <w:szCs w:val="32"/>
        </w:rPr>
      </w:pPr>
    </w:p>
    <w:p>
      <w:pPr>
        <w:pStyle w:val="10"/>
        <w:ind w:firstLine="640"/>
      </w:pPr>
      <w:r>
        <w:rPr>
          <w:rFonts w:hint="eastAsia"/>
        </w:rPr>
        <w:fldChar w:fldCharType="begin"/>
      </w:r>
      <w:r>
        <w:rPr>
          <w:rFonts w:hint="eastAsia"/>
        </w:rPr>
        <w:instrText xml:space="preserve">TOC \o "1-1" \n  \h \u </w:instrText>
      </w:r>
      <w:r>
        <w:rPr>
          <w:rFonts w:hint="eastAsia"/>
        </w:rPr>
        <w:fldChar w:fldCharType="separate"/>
      </w:r>
      <w:r>
        <w:fldChar w:fldCharType="begin"/>
      </w:r>
      <w:r>
        <w:instrText xml:space="preserve"> HYPERLINK \l "_Toc10649" </w:instrText>
      </w:r>
      <w:r>
        <w:fldChar w:fldCharType="separate"/>
      </w:r>
      <w:r>
        <w:rPr>
          <w:rFonts w:hint="eastAsia"/>
        </w:rPr>
        <w:t>第一章  总    则</w:t>
      </w:r>
      <w:r>
        <w:rPr>
          <w:rFonts w:hint="eastAsia"/>
        </w:rPr>
        <w:fldChar w:fldCharType="end"/>
      </w:r>
    </w:p>
    <w:p>
      <w:pPr>
        <w:pStyle w:val="10"/>
        <w:ind w:firstLine="640"/>
      </w:pPr>
      <w:r>
        <w:fldChar w:fldCharType="begin"/>
      </w:r>
      <w:r>
        <w:instrText xml:space="preserve"> HYPERLINK \l "_Toc21504" </w:instrText>
      </w:r>
      <w:r>
        <w:fldChar w:fldCharType="separate"/>
      </w:r>
      <w:r>
        <w:rPr>
          <w:rFonts w:hint="eastAsia"/>
        </w:rPr>
        <w:t>第二章  技术贸易和技术贸易服务</w:t>
      </w:r>
      <w:r>
        <w:rPr>
          <w:rFonts w:hint="eastAsia"/>
        </w:rPr>
        <w:fldChar w:fldCharType="end"/>
      </w:r>
    </w:p>
    <w:p>
      <w:pPr>
        <w:pStyle w:val="10"/>
        <w:ind w:firstLine="640"/>
      </w:pPr>
      <w:r>
        <w:fldChar w:fldCharType="begin"/>
      </w:r>
      <w:r>
        <w:instrText xml:space="preserve"> HYPERLINK \l "_Toc25300" </w:instrText>
      </w:r>
      <w:r>
        <w:fldChar w:fldCharType="separate"/>
      </w:r>
      <w:r>
        <w:rPr>
          <w:rFonts w:hint="eastAsia"/>
        </w:rPr>
        <w:t>第三章  技术合同管理</w:t>
      </w:r>
      <w:r>
        <w:rPr>
          <w:rFonts w:hint="eastAsia"/>
        </w:rPr>
        <w:fldChar w:fldCharType="end"/>
      </w:r>
    </w:p>
    <w:p>
      <w:pPr>
        <w:pStyle w:val="10"/>
        <w:ind w:firstLine="640"/>
      </w:pPr>
      <w:r>
        <w:fldChar w:fldCharType="begin"/>
      </w:r>
      <w:r>
        <w:instrText xml:space="preserve"> HYPERLINK \l "_Toc28077" </w:instrText>
      </w:r>
      <w:r>
        <w:fldChar w:fldCharType="separate"/>
      </w:r>
      <w:r>
        <w:rPr>
          <w:rFonts w:hint="eastAsia"/>
        </w:rPr>
        <w:t>第四章  扶持和奖励</w:t>
      </w:r>
      <w:r>
        <w:rPr>
          <w:rFonts w:hint="eastAsia"/>
        </w:rPr>
        <w:fldChar w:fldCharType="end"/>
      </w:r>
    </w:p>
    <w:p>
      <w:pPr>
        <w:pStyle w:val="10"/>
        <w:ind w:firstLine="640"/>
      </w:pPr>
      <w:r>
        <w:fldChar w:fldCharType="begin"/>
      </w:r>
      <w:r>
        <w:instrText xml:space="preserve"> HYPERLINK \l "_Toc17113" </w:instrText>
      </w:r>
      <w:r>
        <w:fldChar w:fldCharType="separate"/>
      </w:r>
      <w:r>
        <w:rPr>
          <w:rFonts w:hint="eastAsia"/>
        </w:rPr>
        <w:t>第五章  法律责任</w:t>
      </w:r>
      <w:r>
        <w:rPr>
          <w:rFonts w:hint="eastAsia"/>
        </w:rPr>
        <w:fldChar w:fldCharType="end"/>
      </w:r>
    </w:p>
    <w:p>
      <w:pPr>
        <w:pStyle w:val="10"/>
        <w:ind w:firstLine="640"/>
      </w:pPr>
      <w:r>
        <w:fldChar w:fldCharType="begin"/>
      </w:r>
      <w:r>
        <w:instrText xml:space="preserve"> HYPERLINK \l "_Toc20256" </w:instrText>
      </w:r>
      <w:r>
        <w:fldChar w:fldCharType="separate"/>
      </w:r>
      <w:r>
        <w:rPr>
          <w:rFonts w:hint="eastAsia"/>
        </w:rPr>
        <w:t>第六章  附    则</w:t>
      </w:r>
      <w:r>
        <w:rPr>
          <w:rFonts w:hint="eastAsia"/>
        </w:rPr>
        <w:fldChar w:fldCharType="end"/>
      </w:r>
    </w:p>
    <w:p>
      <w:pPr>
        <w:pStyle w:val="10"/>
        <w:ind w:firstLine="640"/>
        <w:rPr>
          <w:rFonts w:ascii="楷体" w:hAnsi="楷体" w:cs="楷体"/>
          <w:szCs w:val="32"/>
        </w:rPr>
      </w:pPr>
      <w:r>
        <w:rPr>
          <w:rFonts w:hint="eastAsia"/>
        </w:rPr>
        <w:fldChar w:fldCharType="end"/>
      </w:r>
    </w:p>
    <w:p>
      <w:pPr>
        <w:pStyle w:val="2"/>
      </w:pPr>
      <w:bookmarkStart w:id="0" w:name="_Toc10649"/>
      <w:r>
        <w:rPr>
          <w:rFonts w:hint="eastAsia"/>
        </w:rPr>
        <w:t>第一章  总    则</w:t>
      </w:r>
      <w:bookmarkEnd w:id="0"/>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第一条</w:t>
      </w:r>
      <w:r>
        <w:rPr>
          <w:rFonts w:hint="eastAsia" w:ascii="仿宋" w:hAnsi="仿宋" w:eastAsia="仿宋" w:cs="仿宋"/>
          <w:sz w:val="32"/>
          <w:szCs w:val="32"/>
        </w:rPr>
        <w:t xml:space="preserve">  为了促进技术市场的发展，加速科学技术成果的转化，维护技术市场秩序，保护技术贸易当事人的合法权益，根据国家有关法律、法规，结合本市实际，制定本条例。</w:t>
      </w:r>
    </w:p>
    <w:p>
      <w:pPr>
        <w:spacing w:line="560" w:lineRule="exact"/>
        <w:ind w:firstLine="640" w:firstLineChars="200"/>
        <w:rPr>
          <w:rFonts w:ascii="仿宋" w:hAnsi="仿宋" w:eastAsia="仿宋" w:cs="仿宋"/>
          <w:sz w:val="32"/>
          <w:szCs w:val="32"/>
        </w:rPr>
      </w:pPr>
      <w:r>
        <w:rPr>
          <w:rStyle w:val="11"/>
          <w:rFonts w:hint="eastAsia"/>
        </w:rPr>
        <w:t>第二条</w:t>
      </w:r>
      <w:r>
        <w:rPr>
          <w:rFonts w:hint="eastAsia" w:ascii="仿宋" w:hAnsi="仿宋" w:eastAsia="仿宋" w:cs="仿宋"/>
          <w:sz w:val="32"/>
          <w:szCs w:val="32"/>
        </w:rPr>
        <w:t xml:space="preserve">  公民、法人和其他组织在本市行政区域内从事技术贸易、技术贸易服务等活动，适用本条例。法律另有规定的除外。</w:t>
      </w:r>
    </w:p>
    <w:p>
      <w:pPr>
        <w:spacing w:line="560" w:lineRule="exact"/>
        <w:ind w:firstLine="640" w:firstLineChars="200"/>
        <w:rPr>
          <w:rFonts w:ascii="仿宋" w:hAnsi="仿宋" w:eastAsia="仿宋" w:cs="仿宋"/>
          <w:sz w:val="32"/>
          <w:szCs w:val="32"/>
        </w:rPr>
      </w:pPr>
      <w:r>
        <w:rPr>
          <w:rStyle w:val="11"/>
          <w:rFonts w:hint="eastAsia"/>
        </w:rPr>
        <w:t xml:space="preserve">第三条 </w:t>
      </w:r>
      <w:r>
        <w:rPr>
          <w:rFonts w:hint="eastAsia" w:ascii="仿宋" w:hAnsi="仿宋" w:eastAsia="仿宋" w:cs="仿宋"/>
          <w:sz w:val="32"/>
          <w:szCs w:val="32"/>
        </w:rPr>
        <w:t xml:space="preserve"> 本条例所称技术贸易包括技术开发、技术转让、技术咨询、技术服务、技术进出口、技术投资、技术入股、技术承包、技术产权交易以及科技新产品的试产试销等。</w:t>
      </w:r>
    </w:p>
    <w:p>
      <w:pPr>
        <w:spacing w:line="560" w:lineRule="exact"/>
        <w:ind w:firstLine="640" w:firstLineChars="200"/>
        <w:rPr>
          <w:rFonts w:ascii="仿宋" w:hAnsi="仿宋" w:eastAsia="仿宋" w:cs="仿宋"/>
          <w:sz w:val="32"/>
          <w:szCs w:val="32"/>
        </w:rPr>
      </w:pPr>
      <w:r>
        <w:rPr>
          <w:rStyle w:val="11"/>
          <w:rFonts w:hint="eastAsia"/>
        </w:rPr>
        <w:t>第四条</w:t>
      </w:r>
      <w:r>
        <w:rPr>
          <w:rFonts w:hint="eastAsia" w:ascii="仿宋" w:hAnsi="仿宋" w:eastAsia="仿宋" w:cs="仿宋"/>
          <w:sz w:val="32"/>
          <w:szCs w:val="32"/>
        </w:rPr>
        <w:t xml:space="preserve">  市人民政府科学技术行政管理部门是本市技术市场的主管部门。市技术市场管理办公室负责全市技术市场的日常管理工作；县（市）、区技术市场管理部门负责本地区技术市场的日常管理工作。工商、税务、财政、物价等有关部门，按照职责分工做好技术市场的监督管理工作。</w:t>
      </w:r>
    </w:p>
    <w:p>
      <w:pPr>
        <w:spacing w:line="560" w:lineRule="exact"/>
        <w:ind w:firstLine="640" w:firstLineChars="200"/>
        <w:rPr>
          <w:rFonts w:ascii="仿宋" w:hAnsi="仿宋" w:eastAsia="仿宋" w:cs="仿宋"/>
          <w:sz w:val="32"/>
          <w:szCs w:val="32"/>
        </w:rPr>
      </w:pPr>
      <w:r>
        <w:rPr>
          <w:rStyle w:val="11"/>
          <w:rFonts w:hint="eastAsia"/>
        </w:rPr>
        <w:t>第五条</w:t>
      </w:r>
      <w:r>
        <w:rPr>
          <w:rFonts w:hint="eastAsia" w:ascii="仿宋" w:hAnsi="仿宋" w:eastAsia="仿宋" w:cs="仿宋"/>
          <w:sz w:val="32"/>
          <w:szCs w:val="32"/>
        </w:rPr>
        <w:t xml:space="preserve">  从事技术贸易和技术贸易服务，必须遵循自愿平等、有偿互利、诚实信用和协商一致的原则。</w:t>
      </w:r>
    </w:p>
    <w:p>
      <w:pPr>
        <w:spacing w:line="560" w:lineRule="exact"/>
        <w:ind w:firstLine="640" w:firstLineChars="200"/>
        <w:rPr>
          <w:rFonts w:hint="eastAsia" w:ascii="仿宋" w:hAnsi="仿宋" w:eastAsia="仿宋" w:cs="仿宋"/>
          <w:sz w:val="32"/>
          <w:szCs w:val="32"/>
        </w:rPr>
      </w:pPr>
      <w:r>
        <w:rPr>
          <w:rStyle w:val="11"/>
          <w:rFonts w:hint="eastAsia"/>
        </w:rPr>
        <w:t>第六条</w:t>
      </w:r>
      <w:r>
        <w:rPr>
          <w:rFonts w:hint="eastAsia" w:ascii="仿宋" w:hAnsi="仿宋" w:eastAsia="仿宋" w:cs="仿宋"/>
          <w:sz w:val="32"/>
          <w:szCs w:val="32"/>
        </w:rPr>
        <w:t xml:space="preserve">  凡有益于经济建设、社会发展和科技进步的技术，均可进入技术市场，国家另有规定的除外。技术贸易和技术贸易服务活动不受地区、行业、隶属关系、经济性质和专业范围的限制。</w:t>
      </w:r>
    </w:p>
    <w:p>
      <w:pPr>
        <w:spacing w:line="560" w:lineRule="exact"/>
        <w:ind w:firstLine="640" w:firstLineChars="200"/>
        <w:rPr>
          <w:rFonts w:ascii="仿宋" w:hAnsi="仿宋" w:eastAsia="仿宋" w:cs="仿宋"/>
          <w:sz w:val="32"/>
          <w:szCs w:val="32"/>
        </w:rPr>
      </w:pPr>
    </w:p>
    <w:p>
      <w:pPr>
        <w:pStyle w:val="2"/>
      </w:pPr>
      <w:bookmarkStart w:id="1" w:name="_Toc21504"/>
      <w:r>
        <w:rPr>
          <w:rFonts w:hint="eastAsia"/>
        </w:rPr>
        <w:t>第二章  技术贸易和技术贸易服务</w:t>
      </w:r>
      <w:bookmarkEnd w:id="1"/>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 xml:space="preserve">第七条 </w:t>
      </w:r>
      <w:r>
        <w:rPr>
          <w:rFonts w:hint="eastAsia" w:ascii="仿宋" w:hAnsi="仿宋" w:eastAsia="仿宋" w:cs="仿宋"/>
          <w:sz w:val="32"/>
          <w:szCs w:val="32"/>
        </w:rPr>
        <w:t xml:space="preserve"> 设立技术贸易机构或技术贸易服务机构应当具备下列条件：（一）有明确的经营、服务范围和与其相对应的名称；（二）有与经营和服务范围、规模相适应的专业技术人员和管理人员；（三）有固定的场所、设施和与经营规模相适应的资金；（四）有组织章程和服务规范。</w:t>
      </w:r>
    </w:p>
    <w:p>
      <w:pPr>
        <w:spacing w:line="560" w:lineRule="exact"/>
        <w:ind w:firstLine="640" w:firstLineChars="200"/>
        <w:rPr>
          <w:rFonts w:ascii="仿宋" w:hAnsi="仿宋" w:eastAsia="仿宋" w:cs="仿宋"/>
          <w:sz w:val="32"/>
          <w:szCs w:val="32"/>
        </w:rPr>
      </w:pPr>
      <w:r>
        <w:rPr>
          <w:rStyle w:val="11"/>
          <w:rFonts w:hint="eastAsia"/>
        </w:rPr>
        <w:t xml:space="preserve">第八条 </w:t>
      </w:r>
      <w:r>
        <w:rPr>
          <w:rFonts w:hint="eastAsia" w:ascii="仿宋" w:hAnsi="仿宋" w:eastAsia="仿宋" w:cs="仿宋"/>
          <w:sz w:val="32"/>
          <w:szCs w:val="32"/>
        </w:rPr>
        <w:t xml:space="preserve"> 设立技术贸易机构或技术贸易服务机构，应当符合本条例第七条规定的条件，经工商行政管理部门依法登记、领取营业执照后，方可经营。</w:t>
      </w:r>
    </w:p>
    <w:p>
      <w:pPr>
        <w:spacing w:line="560" w:lineRule="exact"/>
        <w:ind w:firstLine="640" w:firstLineChars="200"/>
        <w:rPr>
          <w:rFonts w:ascii="仿宋" w:hAnsi="仿宋" w:eastAsia="仿宋" w:cs="仿宋"/>
          <w:sz w:val="32"/>
          <w:szCs w:val="32"/>
        </w:rPr>
      </w:pPr>
      <w:r>
        <w:rPr>
          <w:rStyle w:val="11"/>
          <w:rFonts w:hint="eastAsia"/>
        </w:rPr>
        <w:t>第九条</w:t>
      </w:r>
      <w:r>
        <w:rPr>
          <w:rFonts w:hint="eastAsia" w:ascii="仿宋" w:hAnsi="仿宋" w:eastAsia="仿宋" w:cs="仿宋"/>
          <w:sz w:val="32"/>
          <w:szCs w:val="32"/>
        </w:rPr>
        <w:t xml:space="preserve">  技术贸易活动可采取多种形式进行。鼓励科技计划项目采取公开招标，科技项目实行招标的应通过技术市场进行。招标应当坚持平等、择优、公正的原则。</w:t>
      </w:r>
    </w:p>
    <w:p>
      <w:pPr>
        <w:spacing w:line="560" w:lineRule="exact"/>
        <w:ind w:firstLine="640" w:firstLineChars="200"/>
        <w:rPr>
          <w:rFonts w:ascii="仿宋" w:hAnsi="仿宋" w:eastAsia="仿宋" w:cs="仿宋"/>
          <w:sz w:val="32"/>
          <w:szCs w:val="32"/>
        </w:rPr>
      </w:pPr>
      <w:r>
        <w:rPr>
          <w:rStyle w:val="11"/>
          <w:rFonts w:hint="eastAsia"/>
        </w:rPr>
        <w:t xml:space="preserve">第十条 </w:t>
      </w:r>
      <w:r>
        <w:rPr>
          <w:rFonts w:hint="eastAsia" w:ascii="仿宋" w:hAnsi="仿宋" w:eastAsia="仿宋" w:cs="仿宋"/>
          <w:sz w:val="32"/>
          <w:szCs w:val="32"/>
        </w:rPr>
        <w:t xml:space="preserve"> 在技术贸易和技术贸易服务活动中，禁止下列行为：（一）窃取或者侵占他人拥有的技术秘密；（二）以欺骗、胁迫等手段从事技术贸易和技术贸易服务活动。</w:t>
      </w:r>
    </w:p>
    <w:p>
      <w:pPr>
        <w:spacing w:line="560" w:lineRule="exact"/>
        <w:ind w:firstLine="640" w:firstLineChars="200"/>
        <w:rPr>
          <w:rFonts w:ascii="仿宋" w:hAnsi="仿宋" w:eastAsia="仿宋" w:cs="仿宋"/>
          <w:sz w:val="32"/>
          <w:szCs w:val="32"/>
        </w:rPr>
      </w:pPr>
      <w:r>
        <w:rPr>
          <w:rStyle w:val="11"/>
          <w:rFonts w:hint="eastAsia"/>
        </w:rPr>
        <w:t>第十一条</w:t>
      </w:r>
      <w:r>
        <w:rPr>
          <w:rFonts w:hint="eastAsia" w:ascii="仿宋" w:hAnsi="仿宋" w:eastAsia="仿宋" w:cs="仿宋"/>
          <w:sz w:val="32"/>
          <w:szCs w:val="32"/>
        </w:rPr>
        <w:t xml:space="preserve">  为技术贸易提供服务的，按约定收取服务费。</w:t>
      </w:r>
    </w:p>
    <w:p>
      <w:pPr>
        <w:spacing w:line="560" w:lineRule="exact"/>
        <w:ind w:firstLine="640" w:firstLineChars="200"/>
        <w:rPr>
          <w:rFonts w:hint="eastAsia" w:ascii="仿宋" w:hAnsi="仿宋" w:eastAsia="仿宋" w:cs="仿宋"/>
          <w:sz w:val="32"/>
          <w:szCs w:val="32"/>
        </w:rPr>
      </w:pPr>
      <w:r>
        <w:rPr>
          <w:rStyle w:val="11"/>
          <w:rFonts w:hint="eastAsia"/>
        </w:rPr>
        <w:t>第十二条</w:t>
      </w:r>
      <w:r>
        <w:rPr>
          <w:rFonts w:hint="eastAsia" w:ascii="仿宋" w:hAnsi="仿宋" w:eastAsia="仿宋" w:cs="仿宋"/>
          <w:sz w:val="32"/>
          <w:szCs w:val="32"/>
        </w:rPr>
        <w:t xml:space="preserve">  从事技术贸易和技术贸易服务活动，应使用由市税务部门监制的技术贸易专用发票。</w:t>
      </w:r>
    </w:p>
    <w:p>
      <w:pPr>
        <w:spacing w:line="560" w:lineRule="exact"/>
        <w:ind w:firstLine="640" w:firstLineChars="200"/>
        <w:rPr>
          <w:rFonts w:ascii="仿宋" w:hAnsi="仿宋" w:eastAsia="仿宋" w:cs="仿宋"/>
          <w:sz w:val="32"/>
          <w:szCs w:val="32"/>
        </w:rPr>
      </w:pPr>
    </w:p>
    <w:p>
      <w:pPr>
        <w:pStyle w:val="2"/>
      </w:pPr>
      <w:bookmarkStart w:id="2" w:name="_Toc25300"/>
      <w:r>
        <w:rPr>
          <w:rFonts w:hint="eastAsia"/>
        </w:rPr>
        <w:t>第三章  技术合同管理</w:t>
      </w:r>
      <w:bookmarkEnd w:id="2"/>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第十三条</w:t>
      </w:r>
      <w:r>
        <w:rPr>
          <w:rFonts w:hint="eastAsia" w:ascii="仿宋" w:hAnsi="仿宋" w:eastAsia="仿宋" w:cs="仿宋"/>
          <w:sz w:val="32"/>
          <w:szCs w:val="32"/>
        </w:rPr>
        <w:t xml:space="preserve">  技术合同实行自愿申请认定登记制度。市科学技术行政部门管理技术合同认定登记工作。技术合同登记可以收取技术合同登记工本费，收费标准按国家和省的有关规定执行。</w:t>
      </w:r>
    </w:p>
    <w:p>
      <w:pPr>
        <w:spacing w:line="560" w:lineRule="exact"/>
        <w:ind w:firstLine="640" w:firstLineChars="200"/>
        <w:rPr>
          <w:rFonts w:ascii="仿宋" w:hAnsi="仿宋" w:eastAsia="仿宋" w:cs="仿宋"/>
          <w:sz w:val="32"/>
          <w:szCs w:val="32"/>
        </w:rPr>
      </w:pPr>
      <w:r>
        <w:rPr>
          <w:rStyle w:val="11"/>
          <w:rFonts w:hint="eastAsia"/>
        </w:rPr>
        <w:t xml:space="preserve">第十四条 </w:t>
      </w:r>
      <w:r>
        <w:rPr>
          <w:rFonts w:hint="eastAsia" w:ascii="仿宋" w:hAnsi="仿宋" w:eastAsia="仿宋" w:cs="仿宋"/>
          <w:sz w:val="32"/>
          <w:szCs w:val="32"/>
        </w:rPr>
        <w:t xml:space="preserve"> 技术合同的价款、报酬和使用费，应当根据技术成果的经济效益和社会效益、研究开发技术的成本、技术成果的工业化开发程度、当事人享有的权益和承担的责任，由当事人协商议定。技术合同的价款、报酬或使用费结算支付办法，按国家有关规定执行。</w:t>
      </w:r>
    </w:p>
    <w:p>
      <w:pPr>
        <w:spacing w:line="560" w:lineRule="exact"/>
        <w:ind w:firstLine="640" w:firstLineChars="200"/>
        <w:rPr>
          <w:rFonts w:ascii="仿宋" w:hAnsi="仿宋" w:eastAsia="仿宋" w:cs="仿宋"/>
          <w:sz w:val="32"/>
          <w:szCs w:val="32"/>
        </w:rPr>
      </w:pPr>
      <w:r>
        <w:rPr>
          <w:rStyle w:val="11"/>
          <w:rFonts w:hint="eastAsia"/>
        </w:rPr>
        <w:t>第十五条</w:t>
      </w:r>
      <w:r>
        <w:rPr>
          <w:rFonts w:hint="eastAsia" w:ascii="仿宋" w:hAnsi="仿宋" w:eastAsia="仿宋" w:cs="仿宋"/>
          <w:sz w:val="32"/>
          <w:szCs w:val="32"/>
        </w:rPr>
        <w:t xml:space="preserve">  对非法垄断技术、妨碍技术进步、侵害他人权益的技术合同，由市工商行政管理部门委托市技术市场管理部门作出结论后，再行处理。</w:t>
      </w:r>
    </w:p>
    <w:p>
      <w:pPr>
        <w:spacing w:line="560" w:lineRule="exact"/>
        <w:ind w:firstLine="640" w:firstLineChars="200"/>
        <w:rPr>
          <w:rFonts w:hint="eastAsia" w:ascii="仿宋" w:hAnsi="仿宋" w:eastAsia="仿宋" w:cs="仿宋"/>
          <w:sz w:val="32"/>
          <w:szCs w:val="32"/>
        </w:rPr>
      </w:pPr>
      <w:r>
        <w:rPr>
          <w:rStyle w:val="11"/>
          <w:rFonts w:hint="eastAsia"/>
        </w:rPr>
        <w:t>第十六条</w:t>
      </w:r>
      <w:r>
        <w:rPr>
          <w:rFonts w:hint="eastAsia" w:ascii="仿宋" w:hAnsi="仿宋" w:eastAsia="仿宋" w:cs="仿宋"/>
          <w:sz w:val="32"/>
          <w:szCs w:val="32"/>
        </w:rPr>
        <w:t xml:space="preserve">  技术合同发生争议时，当事人可以根据有关法律、法规，采取协商、调解或仲裁、诉讼方式解决。</w:t>
      </w:r>
    </w:p>
    <w:p>
      <w:pPr>
        <w:spacing w:line="560" w:lineRule="exact"/>
        <w:ind w:firstLine="640" w:firstLineChars="200"/>
        <w:rPr>
          <w:rFonts w:ascii="仿宋" w:hAnsi="仿宋" w:eastAsia="仿宋" w:cs="仿宋"/>
          <w:sz w:val="32"/>
          <w:szCs w:val="32"/>
        </w:rPr>
      </w:pPr>
    </w:p>
    <w:p>
      <w:pPr>
        <w:pStyle w:val="2"/>
      </w:pPr>
      <w:bookmarkStart w:id="3" w:name="_Toc28077"/>
      <w:r>
        <w:rPr>
          <w:rFonts w:hint="eastAsia"/>
        </w:rPr>
        <w:t>第四章  扶持和奖励</w:t>
      </w:r>
      <w:bookmarkEnd w:id="3"/>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第十七条</w:t>
      </w:r>
      <w:r>
        <w:rPr>
          <w:rFonts w:hint="eastAsia" w:ascii="仿宋" w:hAnsi="仿宋" w:eastAsia="仿宋" w:cs="仿宋"/>
          <w:sz w:val="32"/>
          <w:szCs w:val="32"/>
        </w:rPr>
        <w:t xml:space="preserve">  经认定登记的技术合同，企事业单位可以从技术贸易的纯收入中提取25％至40％，在企事业单位统一组织下，业余时间从事技术贸易活动的，可从纯收入中提取60％至80％，作为科技人员的酬金。科技人员个人在完成本职工作和不侵犯本单位经济、技术权益的前提下，从事业余技术贸易活动，依法纳税后，收入全部归己，其中使用单位资料、设备、材料的，由所在单位核收相应费用。</w:t>
      </w:r>
    </w:p>
    <w:p>
      <w:pPr>
        <w:spacing w:line="560" w:lineRule="exact"/>
        <w:ind w:firstLine="640" w:firstLineChars="200"/>
        <w:rPr>
          <w:rFonts w:ascii="仿宋" w:hAnsi="仿宋" w:eastAsia="仿宋" w:cs="仿宋"/>
          <w:sz w:val="32"/>
          <w:szCs w:val="32"/>
        </w:rPr>
      </w:pPr>
      <w:r>
        <w:rPr>
          <w:rStyle w:val="11"/>
          <w:rFonts w:hint="eastAsia"/>
        </w:rPr>
        <w:t>第十八条</w:t>
      </w:r>
      <w:r>
        <w:rPr>
          <w:rFonts w:hint="eastAsia" w:ascii="仿宋" w:hAnsi="仿宋" w:eastAsia="仿宋" w:cs="仿宋"/>
          <w:sz w:val="32"/>
          <w:szCs w:val="32"/>
        </w:rPr>
        <w:t xml:space="preserve">  经认定登记的技术合同，买方在三年内可从投产项目的新增利润中每年一次性提取3％至5％的费用，奖励实施该项目有贡献的科技人员。</w:t>
      </w:r>
    </w:p>
    <w:p>
      <w:pPr>
        <w:spacing w:line="560" w:lineRule="exact"/>
        <w:ind w:firstLine="640" w:firstLineChars="200"/>
        <w:rPr>
          <w:rFonts w:ascii="仿宋" w:hAnsi="仿宋" w:eastAsia="仿宋" w:cs="仿宋"/>
          <w:sz w:val="32"/>
          <w:szCs w:val="32"/>
        </w:rPr>
      </w:pPr>
      <w:r>
        <w:rPr>
          <w:rStyle w:val="11"/>
          <w:rFonts w:hint="eastAsia"/>
        </w:rPr>
        <w:t>第十九条</w:t>
      </w:r>
      <w:r>
        <w:rPr>
          <w:rFonts w:hint="eastAsia" w:ascii="仿宋" w:hAnsi="仿宋" w:eastAsia="仿宋" w:cs="仿宋"/>
          <w:sz w:val="32"/>
          <w:szCs w:val="32"/>
        </w:rPr>
        <w:t xml:space="preserve">  经认定登记的技术合同，当事人可以享受国家有关税收方面的优惠政策，税务部门依据市技术市场管理部门的登记证明办理手续。</w:t>
      </w:r>
    </w:p>
    <w:p>
      <w:pPr>
        <w:spacing w:line="560" w:lineRule="exact"/>
        <w:ind w:firstLine="640" w:firstLineChars="200"/>
        <w:rPr>
          <w:rFonts w:ascii="仿宋" w:hAnsi="仿宋" w:eastAsia="仿宋" w:cs="仿宋"/>
          <w:sz w:val="32"/>
          <w:szCs w:val="32"/>
        </w:rPr>
      </w:pPr>
      <w:r>
        <w:rPr>
          <w:rStyle w:val="11"/>
          <w:rFonts w:hint="eastAsia"/>
        </w:rPr>
        <w:t>第二十条</w:t>
      </w:r>
      <w:r>
        <w:rPr>
          <w:rFonts w:hint="eastAsia" w:ascii="仿宋" w:hAnsi="仿宋" w:eastAsia="仿宋" w:cs="仿宋"/>
          <w:sz w:val="32"/>
          <w:szCs w:val="32"/>
        </w:rPr>
        <w:t xml:space="preserve">  市人民政府设立技术市场基金，促进技术市场的发展。基金的具体管理办法，由市人民政府制定。</w:t>
      </w:r>
    </w:p>
    <w:p>
      <w:pPr>
        <w:spacing w:line="560" w:lineRule="exact"/>
        <w:ind w:firstLine="640" w:firstLineChars="200"/>
        <w:rPr>
          <w:rFonts w:hint="eastAsia" w:ascii="仿宋" w:hAnsi="仿宋" w:eastAsia="仿宋" w:cs="仿宋"/>
          <w:sz w:val="32"/>
          <w:szCs w:val="32"/>
        </w:rPr>
      </w:pPr>
      <w:r>
        <w:rPr>
          <w:rStyle w:val="11"/>
          <w:rFonts w:hint="eastAsia"/>
        </w:rPr>
        <w:t>第二十一条</w:t>
      </w:r>
      <w:r>
        <w:rPr>
          <w:rFonts w:hint="eastAsia" w:ascii="仿宋" w:hAnsi="仿宋" w:eastAsia="仿宋" w:cs="仿宋"/>
          <w:sz w:val="32"/>
          <w:szCs w:val="32"/>
        </w:rPr>
        <w:t xml:space="preserve">  市人民政府设立技术市场金桥奖，表彰和奖励在技术贸易和技术贸易服务活动中作出突出贡献的单位和个人。奖励的具体办法，由市人民政府制定。</w:t>
      </w:r>
    </w:p>
    <w:p>
      <w:pPr>
        <w:spacing w:line="560" w:lineRule="exact"/>
        <w:ind w:firstLine="640" w:firstLineChars="200"/>
        <w:rPr>
          <w:rFonts w:ascii="仿宋" w:hAnsi="仿宋" w:eastAsia="仿宋" w:cs="仿宋"/>
          <w:sz w:val="32"/>
          <w:szCs w:val="32"/>
        </w:rPr>
      </w:pPr>
    </w:p>
    <w:p>
      <w:pPr>
        <w:pStyle w:val="2"/>
      </w:pPr>
      <w:bookmarkStart w:id="4" w:name="_Toc17113"/>
      <w:r>
        <w:rPr>
          <w:rFonts w:hint="eastAsia"/>
        </w:rPr>
        <w:t>第五章  法律责任</w:t>
      </w:r>
      <w:bookmarkEnd w:id="4"/>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 xml:space="preserve">第二十二条  </w:t>
      </w:r>
      <w:r>
        <w:rPr>
          <w:rFonts w:hint="eastAsia" w:ascii="仿宋" w:hAnsi="仿宋" w:eastAsia="仿宋" w:cs="仿宋"/>
          <w:sz w:val="32"/>
          <w:szCs w:val="32"/>
        </w:rPr>
        <w:t>技术市场管理人员玩忽职守、徇私舞弊、收受贿赂、滥用职权的，由市技术市场管理部门或者有关主管部门给予行政处分；构成犯罪的，依法追究刑事责任。</w:t>
      </w:r>
    </w:p>
    <w:p>
      <w:pPr>
        <w:spacing w:line="560" w:lineRule="exact"/>
        <w:ind w:firstLine="640" w:firstLineChars="200"/>
        <w:rPr>
          <w:rFonts w:hint="eastAsia" w:ascii="仿宋" w:hAnsi="仿宋" w:eastAsia="仿宋" w:cs="仿宋"/>
          <w:sz w:val="32"/>
          <w:szCs w:val="32"/>
        </w:rPr>
      </w:pPr>
      <w:r>
        <w:rPr>
          <w:rStyle w:val="11"/>
          <w:rFonts w:hint="eastAsia"/>
        </w:rPr>
        <w:t xml:space="preserve">第二十三条 </w:t>
      </w:r>
      <w:r>
        <w:rPr>
          <w:rFonts w:hint="eastAsia" w:ascii="仿宋" w:hAnsi="仿宋" w:eastAsia="仿宋" w:cs="仿宋"/>
          <w:sz w:val="32"/>
          <w:szCs w:val="32"/>
        </w:rPr>
        <w:t xml:space="preserve"> 当事人对行政处罚决定不服的，可按《行政复议法》《行政诉讼法》的规定申请复议，提起诉讼，逾期不申请复议、不起诉又不履行处罚决定的，由作出行政处罚决定的机关申请人民法院强制执行。</w:t>
      </w:r>
    </w:p>
    <w:p>
      <w:pPr>
        <w:spacing w:line="560" w:lineRule="exact"/>
        <w:ind w:firstLine="640" w:firstLineChars="200"/>
        <w:rPr>
          <w:rFonts w:ascii="仿宋" w:hAnsi="仿宋" w:eastAsia="仿宋" w:cs="仿宋"/>
          <w:sz w:val="32"/>
          <w:szCs w:val="32"/>
        </w:rPr>
      </w:pPr>
    </w:p>
    <w:p>
      <w:pPr>
        <w:pStyle w:val="2"/>
      </w:pPr>
      <w:bookmarkStart w:id="5" w:name="_Toc20256"/>
      <w:r>
        <w:rPr>
          <w:rFonts w:hint="eastAsia"/>
        </w:rPr>
        <w:t>第六章  附    则</w:t>
      </w:r>
      <w:bookmarkEnd w:id="5"/>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第二十四条</w:t>
      </w:r>
      <w:r>
        <w:rPr>
          <w:rFonts w:hint="eastAsia" w:ascii="仿宋" w:hAnsi="仿宋" w:eastAsia="仿宋" w:cs="仿宋"/>
          <w:sz w:val="32"/>
          <w:szCs w:val="32"/>
        </w:rPr>
        <w:t xml:space="preserve">  本条例自1996年11月15日起施行。</w:t>
      </w: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sectPr>
      <w:footerReference r:id="rId3" w:type="default"/>
      <w:pgSz w:w="11906" w:h="16838"/>
      <w:pgMar w:top="2041" w:right="1531" w:bottom="2041" w:left="1531"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path/>
          <v:fill on="f" focussize="0,0"/>
          <v:stroke on="f" joinstyle="miter"/>
          <v:imagedata o:title=""/>
          <o:lock v:ext="edit"/>
          <v:textbox inset="0mm,0mm,0mm,0mm" style="mso-fit-shape-to-text:t;">
            <w:txbxContent>
              <w:p>
                <w:pPr>
                  <w:pStyle w:val="5"/>
                  <w:ind w:left="420" w:leftChars="200" w:right="420" w:rightChars="200"/>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D6014"/>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92A10"/>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6A36"/>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90F4F"/>
    <w:rsid w:val="019F29FF"/>
    <w:rsid w:val="01B07530"/>
    <w:rsid w:val="01C93546"/>
    <w:rsid w:val="022A532B"/>
    <w:rsid w:val="02706198"/>
    <w:rsid w:val="02BB10C4"/>
    <w:rsid w:val="02E335AF"/>
    <w:rsid w:val="034E4A22"/>
    <w:rsid w:val="037173F5"/>
    <w:rsid w:val="03E059D2"/>
    <w:rsid w:val="046B7EF9"/>
    <w:rsid w:val="047562DE"/>
    <w:rsid w:val="04900C53"/>
    <w:rsid w:val="049722EE"/>
    <w:rsid w:val="04E40B3C"/>
    <w:rsid w:val="05142607"/>
    <w:rsid w:val="051A30BF"/>
    <w:rsid w:val="051B4077"/>
    <w:rsid w:val="053068BE"/>
    <w:rsid w:val="05A975C6"/>
    <w:rsid w:val="05B25CDC"/>
    <w:rsid w:val="05BD73DC"/>
    <w:rsid w:val="05E463EE"/>
    <w:rsid w:val="06611DC8"/>
    <w:rsid w:val="06742669"/>
    <w:rsid w:val="06A52A2F"/>
    <w:rsid w:val="06BB1A3E"/>
    <w:rsid w:val="06D27684"/>
    <w:rsid w:val="06F47A3E"/>
    <w:rsid w:val="06FE4C7B"/>
    <w:rsid w:val="07454396"/>
    <w:rsid w:val="07615354"/>
    <w:rsid w:val="07C466F9"/>
    <w:rsid w:val="07F10DC0"/>
    <w:rsid w:val="07FE6FB6"/>
    <w:rsid w:val="080D3997"/>
    <w:rsid w:val="08935BC4"/>
    <w:rsid w:val="08E64EDB"/>
    <w:rsid w:val="08F76E4E"/>
    <w:rsid w:val="09303886"/>
    <w:rsid w:val="094C7E9A"/>
    <w:rsid w:val="09545708"/>
    <w:rsid w:val="09614306"/>
    <w:rsid w:val="09A05A0C"/>
    <w:rsid w:val="09B537A1"/>
    <w:rsid w:val="09EB1163"/>
    <w:rsid w:val="0AAD4A9B"/>
    <w:rsid w:val="0AF62434"/>
    <w:rsid w:val="0B201CF0"/>
    <w:rsid w:val="0B4724B0"/>
    <w:rsid w:val="0BAC149A"/>
    <w:rsid w:val="0BCF2297"/>
    <w:rsid w:val="0C320844"/>
    <w:rsid w:val="0C350F96"/>
    <w:rsid w:val="0C58755E"/>
    <w:rsid w:val="0C6E62A7"/>
    <w:rsid w:val="0C9A52D9"/>
    <w:rsid w:val="0CAD576F"/>
    <w:rsid w:val="0D495165"/>
    <w:rsid w:val="0D970C3A"/>
    <w:rsid w:val="0DDF6E30"/>
    <w:rsid w:val="0DE04D9C"/>
    <w:rsid w:val="0FBC5FC6"/>
    <w:rsid w:val="0FE65D02"/>
    <w:rsid w:val="101843A9"/>
    <w:rsid w:val="10803A33"/>
    <w:rsid w:val="10A646F2"/>
    <w:rsid w:val="10F055B0"/>
    <w:rsid w:val="113A565D"/>
    <w:rsid w:val="11A3282F"/>
    <w:rsid w:val="11BF194F"/>
    <w:rsid w:val="12032FD1"/>
    <w:rsid w:val="12501663"/>
    <w:rsid w:val="12921963"/>
    <w:rsid w:val="12FB32D9"/>
    <w:rsid w:val="131D114D"/>
    <w:rsid w:val="13675AF7"/>
    <w:rsid w:val="13881CB2"/>
    <w:rsid w:val="13AF0DB0"/>
    <w:rsid w:val="13D6470E"/>
    <w:rsid w:val="14225112"/>
    <w:rsid w:val="14725DF3"/>
    <w:rsid w:val="14BA20EB"/>
    <w:rsid w:val="14CD746B"/>
    <w:rsid w:val="14E4537D"/>
    <w:rsid w:val="14FC012B"/>
    <w:rsid w:val="152A714F"/>
    <w:rsid w:val="156D2257"/>
    <w:rsid w:val="15883D87"/>
    <w:rsid w:val="158A4D68"/>
    <w:rsid w:val="159B597A"/>
    <w:rsid w:val="15AE338E"/>
    <w:rsid w:val="15D26080"/>
    <w:rsid w:val="160C6692"/>
    <w:rsid w:val="16602F7F"/>
    <w:rsid w:val="166F2CEE"/>
    <w:rsid w:val="168738C3"/>
    <w:rsid w:val="168C6C88"/>
    <w:rsid w:val="169C4C1E"/>
    <w:rsid w:val="16CF1633"/>
    <w:rsid w:val="16D07390"/>
    <w:rsid w:val="16DE4F0A"/>
    <w:rsid w:val="17072161"/>
    <w:rsid w:val="171D4256"/>
    <w:rsid w:val="17305B1F"/>
    <w:rsid w:val="17B934DE"/>
    <w:rsid w:val="185742AC"/>
    <w:rsid w:val="185D3EB2"/>
    <w:rsid w:val="18922DC3"/>
    <w:rsid w:val="18AD19C0"/>
    <w:rsid w:val="19025465"/>
    <w:rsid w:val="192201FD"/>
    <w:rsid w:val="1930599F"/>
    <w:rsid w:val="194467B3"/>
    <w:rsid w:val="194E1DDE"/>
    <w:rsid w:val="19A9569B"/>
    <w:rsid w:val="19BE4516"/>
    <w:rsid w:val="19C8553A"/>
    <w:rsid w:val="19EF167F"/>
    <w:rsid w:val="1A0B1E27"/>
    <w:rsid w:val="1A2C240B"/>
    <w:rsid w:val="1A4E285D"/>
    <w:rsid w:val="1A513FF9"/>
    <w:rsid w:val="1ACC509D"/>
    <w:rsid w:val="1ADB0DA2"/>
    <w:rsid w:val="1B06088A"/>
    <w:rsid w:val="1B220777"/>
    <w:rsid w:val="1B4C3352"/>
    <w:rsid w:val="1B574B73"/>
    <w:rsid w:val="1BC13337"/>
    <w:rsid w:val="1BF6420E"/>
    <w:rsid w:val="1C6540F3"/>
    <w:rsid w:val="1C8D0327"/>
    <w:rsid w:val="1CAC6918"/>
    <w:rsid w:val="1CB44D37"/>
    <w:rsid w:val="1CB53191"/>
    <w:rsid w:val="1CFF118A"/>
    <w:rsid w:val="1D5E4B71"/>
    <w:rsid w:val="1D6C4DAA"/>
    <w:rsid w:val="1DBC76C8"/>
    <w:rsid w:val="1E1B06B9"/>
    <w:rsid w:val="1EBF613B"/>
    <w:rsid w:val="1EC36185"/>
    <w:rsid w:val="1ECD0EC5"/>
    <w:rsid w:val="1EE8371A"/>
    <w:rsid w:val="1F435EC9"/>
    <w:rsid w:val="1F503903"/>
    <w:rsid w:val="1F786767"/>
    <w:rsid w:val="1FA4765D"/>
    <w:rsid w:val="1FB16189"/>
    <w:rsid w:val="1FCF4B1D"/>
    <w:rsid w:val="1FD646DD"/>
    <w:rsid w:val="1FE2166B"/>
    <w:rsid w:val="20120AD7"/>
    <w:rsid w:val="20357325"/>
    <w:rsid w:val="20702194"/>
    <w:rsid w:val="20D005C2"/>
    <w:rsid w:val="21553C7F"/>
    <w:rsid w:val="222D2EDD"/>
    <w:rsid w:val="22320694"/>
    <w:rsid w:val="228E1A7C"/>
    <w:rsid w:val="22941ED8"/>
    <w:rsid w:val="22D4703C"/>
    <w:rsid w:val="22D52973"/>
    <w:rsid w:val="22E501F9"/>
    <w:rsid w:val="23087A91"/>
    <w:rsid w:val="23471EE9"/>
    <w:rsid w:val="2352717F"/>
    <w:rsid w:val="237041E3"/>
    <w:rsid w:val="237431B0"/>
    <w:rsid w:val="23C16288"/>
    <w:rsid w:val="247316FD"/>
    <w:rsid w:val="24887EA6"/>
    <w:rsid w:val="249204FC"/>
    <w:rsid w:val="24D25A92"/>
    <w:rsid w:val="251353A8"/>
    <w:rsid w:val="2582293E"/>
    <w:rsid w:val="25865479"/>
    <w:rsid w:val="259B1E7E"/>
    <w:rsid w:val="265165AD"/>
    <w:rsid w:val="268F05CC"/>
    <w:rsid w:val="27411DBA"/>
    <w:rsid w:val="27596E70"/>
    <w:rsid w:val="2770139F"/>
    <w:rsid w:val="279B5668"/>
    <w:rsid w:val="27B71403"/>
    <w:rsid w:val="27BE28D4"/>
    <w:rsid w:val="284A4E31"/>
    <w:rsid w:val="2859370C"/>
    <w:rsid w:val="28CC55C8"/>
    <w:rsid w:val="29070618"/>
    <w:rsid w:val="29BE6969"/>
    <w:rsid w:val="29E66142"/>
    <w:rsid w:val="2A024F82"/>
    <w:rsid w:val="2A5463A6"/>
    <w:rsid w:val="2A76755E"/>
    <w:rsid w:val="2AB252CF"/>
    <w:rsid w:val="2ADF3094"/>
    <w:rsid w:val="2B7A4EFF"/>
    <w:rsid w:val="2B9076E2"/>
    <w:rsid w:val="2BB84C19"/>
    <w:rsid w:val="2BC97D6F"/>
    <w:rsid w:val="2BD9140F"/>
    <w:rsid w:val="2BF67D7D"/>
    <w:rsid w:val="2C237419"/>
    <w:rsid w:val="2C2C429B"/>
    <w:rsid w:val="2C531703"/>
    <w:rsid w:val="2C5B2BB8"/>
    <w:rsid w:val="2C69365C"/>
    <w:rsid w:val="2C8A703F"/>
    <w:rsid w:val="2CA624D2"/>
    <w:rsid w:val="2CAB2600"/>
    <w:rsid w:val="2CF6672E"/>
    <w:rsid w:val="2D56772A"/>
    <w:rsid w:val="2DED3F13"/>
    <w:rsid w:val="2E2B3406"/>
    <w:rsid w:val="2E4A7B35"/>
    <w:rsid w:val="2F1A1FC9"/>
    <w:rsid w:val="2F4B0088"/>
    <w:rsid w:val="2FBD38F9"/>
    <w:rsid w:val="2FFB0F18"/>
    <w:rsid w:val="300D3841"/>
    <w:rsid w:val="303426E4"/>
    <w:rsid w:val="304A1A07"/>
    <w:rsid w:val="310A600B"/>
    <w:rsid w:val="318F3095"/>
    <w:rsid w:val="322054E2"/>
    <w:rsid w:val="325B7CF5"/>
    <w:rsid w:val="32696861"/>
    <w:rsid w:val="32FD4595"/>
    <w:rsid w:val="335B5D3E"/>
    <w:rsid w:val="338E2A94"/>
    <w:rsid w:val="33907B65"/>
    <w:rsid w:val="33A3385F"/>
    <w:rsid w:val="33DA5553"/>
    <w:rsid w:val="340269D0"/>
    <w:rsid w:val="34412505"/>
    <w:rsid w:val="345C5DB9"/>
    <w:rsid w:val="34D53C58"/>
    <w:rsid w:val="350202EE"/>
    <w:rsid w:val="350D0E7D"/>
    <w:rsid w:val="35687CE4"/>
    <w:rsid w:val="362145A1"/>
    <w:rsid w:val="362C35A8"/>
    <w:rsid w:val="364F58B6"/>
    <w:rsid w:val="36740DD3"/>
    <w:rsid w:val="3681181F"/>
    <w:rsid w:val="36911E77"/>
    <w:rsid w:val="36932EDB"/>
    <w:rsid w:val="36B46682"/>
    <w:rsid w:val="3764581F"/>
    <w:rsid w:val="37BA5750"/>
    <w:rsid w:val="37CD16BE"/>
    <w:rsid w:val="38114365"/>
    <w:rsid w:val="38C61923"/>
    <w:rsid w:val="38D67C8C"/>
    <w:rsid w:val="39023EF6"/>
    <w:rsid w:val="39256A34"/>
    <w:rsid w:val="39353471"/>
    <w:rsid w:val="3942301E"/>
    <w:rsid w:val="39877ADA"/>
    <w:rsid w:val="39C27E4A"/>
    <w:rsid w:val="39EA2C12"/>
    <w:rsid w:val="3A144156"/>
    <w:rsid w:val="3A175EE4"/>
    <w:rsid w:val="3A42463A"/>
    <w:rsid w:val="3A522EB0"/>
    <w:rsid w:val="3A7A48F4"/>
    <w:rsid w:val="3AA724BE"/>
    <w:rsid w:val="3B113C56"/>
    <w:rsid w:val="3B166EF3"/>
    <w:rsid w:val="3B2A1697"/>
    <w:rsid w:val="3B357729"/>
    <w:rsid w:val="3B6303A3"/>
    <w:rsid w:val="3B970652"/>
    <w:rsid w:val="3BDB376B"/>
    <w:rsid w:val="3C63749C"/>
    <w:rsid w:val="3C7C0AD9"/>
    <w:rsid w:val="3CA27920"/>
    <w:rsid w:val="3CAF6491"/>
    <w:rsid w:val="3D8C7D9E"/>
    <w:rsid w:val="3DAB357F"/>
    <w:rsid w:val="3DBC736B"/>
    <w:rsid w:val="3DDC1CCC"/>
    <w:rsid w:val="3E044681"/>
    <w:rsid w:val="3E062AFC"/>
    <w:rsid w:val="3E474407"/>
    <w:rsid w:val="3E5C4F83"/>
    <w:rsid w:val="3E5E374E"/>
    <w:rsid w:val="3E97664A"/>
    <w:rsid w:val="3EB96119"/>
    <w:rsid w:val="3EBF12C6"/>
    <w:rsid w:val="3ED661F9"/>
    <w:rsid w:val="3EEB18FD"/>
    <w:rsid w:val="3FC364AB"/>
    <w:rsid w:val="400F6405"/>
    <w:rsid w:val="401E686E"/>
    <w:rsid w:val="40360DC4"/>
    <w:rsid w:val="4068667C"/>
    <w:rsid w:val="406D3CCC"/>
    <w:rsid w:val="40BD4D08"/>
    <w:rsid w:val="40E206DE"/>
    <w:rsid w:val="411A6716"/>
    <w:rsid w:val="41674852"/>
    <w:rsid w:val="41715365"/>
    <w:rsid w:val="41717D55"/>
    <w:rsid w:val="417F330F"/>
    <w:rsid w:val="418774A7"/>
    <w:rsid w:val="41B36892"/>
    <w:rsid w:val="423D0E1A"/>
    <w:rsid w:val="42BB3568"/>
    <w:rsid w:val="433618E3"/>
    <w:rsid w:val="43902F92"/>
    <w:rsid w:val="43BB5864"/>
    <w:rsid w:val="43D47283"/>
    <w:rsid w:val="44015158"/>
    <w:rsid w:val="443F6670"/>
    <w:rsid w:val="446A3592"/>
    <w:rsid w:val="44D65C21"/>
    <w:rsid w:val="45272B0A"/>
    <w:rsid w:val="455F48D6"/>
    <w:rsid w:val="45741C31"/>
    <w:rsid w:val="457B6D5D"/>
    <w:rsid w:val="457E1DBF"/>
    <w:rsid w:val="457F1C35"/>
    <w:rsid w:val="45B17D82"/>
    <w:rsid w:val="45BD5D2A"/>
    <w:rsid w:val="46185497"/>
    <w:rsid w:val="46947398"/>
    <w:rsid w:val="46A94114"/>
    <w:rsid w:val="4747483B"/>
    <w:rsid w:val="4752024C"/>
    <w:rsid w:val="479D34DA"/>
    <w:rsid w:val="47B36222"/>
    <w:rsid w:val="48384FF9"/>
    <w:rsid w:val="48863842"/>
    <w:rsid w:val="48B4556B"/>
    <w:rsid w:val="48D15C4E"/>
    <w:rsid w:val="4985592B"/>
    <w:rsid w:val="49DF2357"/>
    <w:rsid w:val="4A0B2CD5"/>
    <w:rsid w:val="4A312D13"/>
    <w:rsid w:val="4A431B58"/>
    <w:rsid w:val="4B0044C6"/>
    <w:rsid w:val="4B726BBC"/>
    <w:rsid w:val="4BB23436"/>
    <w:rsid w:val="4C4654A4"/>
    <w:rsid w:val="4C4C1D0E"/>
    <w:rsid w:val="4C9A4880"/>
    <w:rsid w:val="4CEC6E50"/>
    <w:rsid w:val="4D106A2B"/>
    <w:rsid w:val="4D55097D"/>
    <w:rsid w:val="4D5E77CB"/>
    <w:rsid w:val="4D76741B"/>
    <w:rsid w:val="4D9B0A0F"/>
    <w:rsid w:val="4DB6051A"/>
    <w:rsid w:val="4DD71CE8"/>
    <w:rsid w:val="4DDA6DB5"/>
    <w:rsid w:val="4DDD6FB3"/>
    <w:rsid w:val="4E060928"/>
    <w:rsid w:val="4E4468D4"/>
    <w:rsid w:val="4E8B296E"/>
    <w:rsid w:val="4F3C0534"/>
    <w:rsid w:val="4F5F3126"/>
    <w:rsid w:val="4F7F7588"/>
    <w:rsid w:val="4FD61C47"/>
    <w:rsid w:val="4FEE3C8F"/>
    <w:rsid w:val="50332117"/>
    <w:rsid w:val="50343626"/>
    <w:rsid w:val="506E42FE"/>
    <w:rsid w:val="50D504DE"/>
    <w:rsid w:val="50EF7D38"/>
    <w:rsid w:val="51100F7F"/>
    <w:rsid w:val="5110162C"/>
    <w:rsid w:val="511C75E7"/>
    <w:rsid w:val="513C4BD8"/>
    <w:rsid w:val="514D4ED0"/>
    <w:rsid w:val="51582E03"/>
    <w:rsid w:val="51AA3409"/>
    <w:rsid w:val="5212048B"/>
    <w:rsid w:val="52503D47"/>
    <w:rsid w:val="52C252CC"/>
    <w:rsid w:val="532E2091"/>
    <w:rsid w:val="542E3E3B"/>
    <w:rsid w:val="54516785"/>
    <w:rsid w:val="5454185E"/>
    <w:rsid w:val="5461053A"/>
    <w:rsid w:val="546C79AD"/>
    <w:rsid w:val="548328D3"/>
    <w:rsid w:val="54970FD2"/>
    <w:rsid w:val="54A05FA4"/>
    <w:rsid w:val="54E77D81"/>
    <w:rsid w:val="552672F6"/>
    <w:rsid w:val="55D5763D"/>
    <w:rsid w:val="55E1405A"/>
    <w:rsid w:val="561E045F"/>
    <w:rsid w:val="5651155E"/>
    <w:rsid w:val="56902235"/>
    <w:rsid w:val="56A960D5"/>
    <w:rsid w:val="579322BC"/>
    <w:rsid w:val="57DC07AC"/>
    <w:rsid w:val="58250A7C"/>
    <w:rsid w:val="585D0D73"/>
    <w:rsid w:val="5877287D"/>
    <w:rsid w:val="587E2B60"/>
    <w:rsid w:val="589C7904"/>
    <w:rsid w:val="58BF1CDD"/>
    <w:rsid w:val="593C58AC"/>
    <w:rsid w:val="59866208"/>
    <w:rsid w:val="59965ABB"/>
    <w:rsid w:val="59EF4C7E"/>
    <w:rsid w:val="5A5B670A"/>
    <w:rsid w:val="5A7523CD"/>
    <w:rsid w:val="5A984B29"/>
    <w:rsid w:val="5AC874F0"/>
    <w:rsid w:val="5AE56123"/>
    <w:rsid w:val="5B407769"/>
    <w:rsid w:val="5B531C67"/>
    <w:rsid w:val="5BA0270B"/>
    <w:rsid w:val="5BB07EA3"/>
    <w:rsid w:val="5C175839"/>
    <w:rsid w:val="5C2771BA"/>
    <w:rsid w:val="5CAE184C"/>
    <w:rsid w:val="5CCF3427"/>
    <w:rsid w:val="5CD958CD"/>
    <w:rsid w:val="5D557162"/>
    <w:rsid w:val="5DAC3546"/>
    <w:rsid w:val="5DB912E5"/>
    <w:rsid w:val="5E431810"/>
    <w:rsid w:val="5E654974"/>
    <w:rsid w:val="5E822C64"/>
    <w:rsid w:val="5E9E2143"/>
    <w:rsid w:val="5EA14CF3"/>
    <w:rsid w:val="5F2B1DDA"/>
    <w:rsid w:val="5F9E0A02"/>
    <w:rsid w:val="5FF77C05"/>
    <w:rsid w:val="602C263E"/>
    <w:rsid w:val="60307729"/>
    <w:rsid w:val="60337945"/>
    <w:rsid w:val="607A1087"/>
    <w:rsid w:val="60BF7B30"/>
    <w:rsid w:val="60DE1EFA"/>
    <w:rsid w:val="60E50712"/>
    <w:rsid w:val="61601756"/>
    <w:rsid w:val="62035611"/>
    <w:rsid w:val="620E1834"/>
    <w:rsid w:val="62281FEF"/>
    <w:rsid w:val="62492030"/>
    <w:rsid w:val="62D73A94"/>
    <w:rsid w:val="63194217"/>
    <w:rsid w:val="632E78CB"/>
    <w:rsid w:val="63305152"/>
    <w:rsid w:val="63550450"/>
    <w:rsid w:val="63B63C60"/>
    <w:rsid w:val="64426ECA"/>
    <w:rsid w:val="64450612"/>
    <w:rsid w:val="646A1271"/>
    <w:rsid w:val="646E44A6"/>
    <w:rsid w:val="65480800"/>
    <w:rsid w:val="656D328E"/>
    <w:rsid w:val="65883AB5"/>
    <w:rsid w:val="65F50F8E"/>
    <w:rsid w:val="661B6B3F"/>
    <w:rsid w:val="66312549"/>
    <w:rsid w:val="66397A67"/>
    <w:rsid w:val="665C112B"/>
    <w:rsid w:val="66875EE0"/>
    <w:rsid w:val="66984CCB"/>
    <w:rsid w:val="670C01C1"/>
    <w:rsid w:val="678455DD"/>
    <w:rsid w:val="679643F4"/>
    <w:rsid w:val="67C00163"/>
    <w:rsid w:val="68710EE3"/>
    <w:rsid w:val="688D12C9"/>
    <w:rsid w:val="68B257B8"/>
    <w:rsid w:val="69405CFD"/>
    <w:rsid w:val="698A0CA9"/>
    <w:rsid w:val="69BD05DB"/>
    <w:rsid w:val="69EC4C56"/>
    <w:rsid w:val="69F42D6B"/>
    <w:rsid w:val="6A0C5365"/>
    <w:rsid w:val="6A5C7947"/>
    <w:rsid w:val="6A6D3308"/>
    <w:rsid w:val="6A7F4F7B"/>
    <w:rsid w:val="6A9402CC"/>
    <w:rsid w:val="6AC55297"/>
    <w:rsid w:val="6AF6102C"/>
    <w:rsid w:val="6B114C1A"/>
    <w:rsid w:val="6B747130"/>
    <w:rsid w:val="6B7B5383"/>
    <w:rsid w:val="6B7F0D8F"/>
    <w:rsid w:val="6BB6752A"/>
    <w:rsid w:val="6BB85749"/>
    <w:rsid w:val="6BE31316"/>
    <w:rsid w:val="6C0D7C3B"/>
    <w:rsid w:val="6C1B1768"/>
    <w:rsid w:val="6DAC0B96"/>
    <w:rsid w:val="6DF9485E"/>
    <w:rsid w:val="6E2C5A0D"/>
    <w:rsid w:val="6F5F48E4"/>
    <w:rsid w:val="6F6019D1"/>
    <w:rsid w:val="6F8C77B6"/>
    <w:rsid w:val="6FC32718"/>
    <w:rsid w:val="70252703"/>
    <w:rsid w:val="70543150"/>
    <w:rsid w:val="7076728C"/>
    <w:rsid w:val="707E337E"/>
    <w:rsid w:val="70C715EC"/>
    <w:rsid w:val="7118323A"/>
    <w:rsid w:val="71307C87"/>
    <w:rsid w:val="713D0CB0"/>
    <w:rsid w:val="72863E4F"/>
    <w:rsid w:val="728B3C94"/>
    <w:rsid w:val="72A67657"/>
    <w:rsid w:val="72B91D1B"/>
    <w:rsid w:val="73000CF9"/>
    <w:rsid w:val="73126A27"/>
    <w:rsid w:val="73146673"/>
    <w:rsid w:val="73712B08"/>
    <w:rsid w:val="73C94A09"/>
    <w:rsid w:val="73DC46E0"/>
    <w:rsid w:val="73F03AA8"/>
    <w:rsid w:val="74123FA8"/>
    <w:rsid w:val="74154608"/>
    <w:rsid w:val="741A26D9"/>
    <w:rsid w:val="746D05F1"/>
    <w:rsid w:val="74D27347"/>
    <w:rsid w:val="74E4025B"/>
    <w:rsid w:val="751D07DD"/>
    <w:rsid w:val="75342426"/>
    <w:rsid w:val="755E7366"/>
    <w:rsid w:val="75615004"/>
    <w:rsid w:val="757B1C85"/>
    <w:rsid w:val="76085095"/>
    <w:rsid w:val="76AE4031"/>
    <w:rsid w:val="76B07C6D"/>
    <w:rsid w:val="771D706E"/>
    <w:rsid w:val="77464ED6"/>
    <w:rsid w:val="775537A9"/>
    <w:rsid w:val="78153E8C"/>
    <w:rsid w:val="78343CE1"/>
    <w:rsid w:val="78366B65"/>
    <w:rsid w:val="788C033F"/>
    <w:rsid w:val="78C47FF0"/>
    <w:rsid w:val="78F718E7"/>
    <w:rsid w:val="79237FB0"/>
    <w:rsid w:val="79BE26D1"/>
    <w:rsid w:val="79BE5BBE"/>
    <w:rsid w:val="79C52AA7"/>
    <w:rsid w:val="79E42E56"/>
    <w:rsid w:val="7AF34F4B"/>
    <w:rsid w:val="7B6332DF"/>
    <w:rsid w:val="7B642DC3"/>
    <w:rsid w:val="7B9E0270"/>
    <w:rsid w:val="7C442459"/>
    <w:rsid w:val="7C7B6F55"/>
    <w:rsid w:val="7CAF622F"/>
    <w:rsid w:val="7CC30F06"/>
    <w:rsid w:val="7D327789"/>
    <w:rsid w:val="7D980474"/>
    <w:rsid w:val="7DFD0298"/>
    <w:rsid w:val="7E0F32C2"/>
    <w:rsid w:val="7E1356DA"/>
    <w:rsid w:val="7EE73054"/>
    <w:rsid w:val="7F246244"/>
    <w:rsid w:val="7F321906"/>
    <w:rsid w:val="7F3839CC"/>
    <w:rsid w:val="7FC53A36"/>
    <w:rsid w:val="7FE54E46"/>
    <w:rsid w:val="7FF5309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Lines="200" w:afterLines="10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880" w:firstLineChars="200"/>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356</Words>
  <Characters>2034</Characters>
  <Lines>16</Lines>
  <Paragraphs>4</Paragraphs>
  <TotalTime>0</TotalTime>
  <ScaleCrop>false</ScaleCrop>
  <LinksUpToDate>false</LinksUpToDate>
  <CharactersWithSpaces>2386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2017-02-16T16:36:45Z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