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97" w:rsidRPr="004A4597" w:rsidRDefault="004A4597" w:rsidP="00324C29">
      <w:pPr>
        <w:widowControl w:val="0"/>
        <w:overflowPunct w:val="0"/>
        <w:spacing w:after="0" w:line="580" w:lineRule="exact"/>
        <w:jc w:val="both"/>
        <w:rPr>
          <w:rFonts w:ascii="Times New Roman" w:eastAsia="方正小标宋简体" w:hAnsi="Times New Roman" w:cs="Times New Roman"/>
          <w:color w:val="000000"/>
          <w:kern w:val="2"/>
          <w:sz w:val="32"/>
          <w:szCs w:val="32"/>
        </w:rPr>
      </w:pPr>
    </w:p>
    <w:p w:rsidR="00903572" w:rsidRPr="003B66E7" w:rsidRDefault="00903572" w:rsidP="001C35B8">
      <w:pPr>
        <w:widowControl w:val="0"/>
        <w:overflowPunct w:val="0"/>
        <w:spacing w:after="0" w:line="580" w:lineRule="exact"/>
        <w:jc w:val="center"/>
        <w:rPr>
          <w:rFonts w:ascii="宋体" w:eastAsia="宋体" w:hAnsi="宋体" w:cs="Times New Roman"/>
          <w:color w:val="000000" w:themeColor="text1"/>
          <w:kern w:val="36"/>
          <w:sz w:val="44"/>
          <w:szCs w:val="44"/>
        </w:rPr>
      </w:pPr>
      <w:r w:rsidRPr="003B66E7">
        <w:rPr>
          <w:rFonts w:ascii="宋体" w:eastAsia="宋体" w:hAnsi="宋体" w:cs="Times New Roman"/>
          <w:color w:val="000000" w:themeColor="text1"/>
          <w:kern w:val="36"/>
          <w:sz w:val="44"/>
          <w:szCs w:val="44"/>
        </w:rPr>
        <w:t>北京市殡葬管理条例</w:t>
      </w:r>
    </w:p>
    <w:p w:rsidR="003B66E7" w:rsidRDefault="003B66E7" w:rsidP="003B66E7">
      <w:pPr>
        <w:widowControl w:val="0"/>
        <w:overflowPunct w:val="0"/>
        <w:spacing w:after="0" w:line="580" w:lineRule="exact"/>
        <w:ind w:rightChars="200" w:right="440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</w:p>
    <w:p w:rsidR="003B66E7" w:rsidRDefault="00903572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（1996年7月11日北京市第十届人民代表大会常务委</w:t>
      </w:r>
    </w:p>
    <w:p w:rsidR="003B66E7" w:rsidRDefault="00903572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员会第二十八次会议通过</w:t>
      </w:r>
      <w:r w:rsidR="001C35B8" w:rsidRPr="003B66E7">
        <w:rPr>
          <w:rFonts w:ascii="楷体_GB2312" w:eastAsia="楷体_GB2312" w:hAnsi="楷体_GB2312" w:cs="Times New Roman" w:hint="eastAsia"/>
          <w:spacing w:val="-6"/>
          <w:kern w:val="2"/>
          <w:sz w:val="32"/>
          <w:szCs w:val="32"/>
          <w:lang w:bidi="he-IL"/>
        </w:rPr>
        <w:t xml:space="preserve">　</w:t>
      </w: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根据2001年8月3日北京市</w:t>
      </w:r>
    </w:p>
    <w:p w:rsidR="003B66E7" w:rsidRDefault="00903572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第十一届人民代表大会常务委员会</w:t>
      </w:r>
      <w:r w:rsidR="0047189C"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第二十八次会议通过</w:t>
      </w:r>
    </w:p>
    <w:p w:rsidR="003B66E7" w:rsidRDefault="0047189C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的《关于修改〈北京市殡葬管理暂行条例〉的决定》修</w:t>
      </w:r>
    </w:p>
    <w:p w:rsidR="003B66E7" w:rsidRDefault="0047189C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正</w:t>
      </w:r>
      <w:r w:rsidR="001C35B8" w:rsidRPr="003B66E7">
        <w:rPr>
          <w:rFonts w:ascii="楷体_GB2312" w:eastAsia="楷体_GB2312" w:hAnsi="楷体_GB2312" w:cs="Times New Roman" w:hint="eastAsia"/>
          <w:spacing w:val="-6"/>
          <w:kern w:val="2"/>
          <w:sz w:val="32"/>
          <w:szCs w:val="32"/>
          <w:lang w:bidi="he-IL"/>
        </w:rPr>
        <w:t xml:space="preserve">　</w:t>
      </w: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根据2016年11月25日北京市第十四届人民代表大</w:t>
      </w:r>
    </w:p>
    <w:p w:rsidR="003B66E7" w:rsidRDefault="0047189C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会常务委员会第三十一次会议通过的《关于修改部分地</w:t>
      </w:r>
    </w:p>
    <w:p w:rsidR="00903572" w:rsidRPr="003B66E7" w:rsidRDefault="0047189C" w:rsidP="003B66E7">
      <w:pPr>
        <w:widowControl w:val="0"/>
        <w:overflowPunct w:val="0"/>
        <w:spacing w:after="0" w:line="580" w:lineRule="exact"/>
        <w:ind w:rightChars="200" w:right="440"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  <w:bookmarkStart w:id="0" w:name="_GoBack"/>
      <w:bookmarkEnd w:id="0"/>
      <w:r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方性法规的决定》修正</w:t>
      </w:r>
      <w:r w:rsidR="00631145" w:rsidRPr="003B66E7"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  <w:t>）</w:t>
      </w:r>
    </w:p>
    <w:p w:rsidR="0047189C" w:rsidRPr="003B66E7" w:rsidRDefault="0047189C" w:rsidP="00324C29">
      <w:pPr>
        <w:widowControl w:val="0"/>
        <w:overflowPunct w:val="0"/>
        <w:spacing w:after="0" w:line="580" w:lineRule="exact"/>
        <w:ind w:firstLineChars="200" w:firstLine="628"/>
        <w:jc w:val="both"/>
        <w:rPr>
          <w:rFonts w:ascii="楷体_GB2312" w:eastAsia="楷体_GB2312" w:hAnsi="楷体_GB2312" w:cs="Times New Roman"/>
          <w:spacing w:val="-6"/>
          <w:kern w:val="2"/>
          <w:sz w:val="32"/>
          <w:szCs w:val="32"/>
          <w:lang w:bidi="he-IL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kern w:val="2"/>
          <w:sz w:val="32"/>
          <w:szCs w:val="32"/>
        </w:rPr>
        <w:t>目</w:t>
      </w:r>
      <w:r w:rsidR="00164E65"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　　　</w:t>
      </w:r>
      <w:r w:rsidRPr="004A4597">
        <w:rPr>
          <w:rFonts w:ascii="Times New Roman" w:eastAsia="黑体" w:hAnsi="Times New Roman" w:cs="Times New Roman"/>
          <w:bCs/>
          <w:kern w:val="2"/>
          <w:sz w:val="32"/>
          <w:szCs w:val="32"/>
        </w:rPr>
        <w:t>录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jc w:val="both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</w:p>
    <w:p w:rsidR="00903572" w:rsidRPr="004A4597" w:rsidRDefault="00903572" w:rsidP="004A4597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第一章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总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则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第二章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丧葬管理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第三章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殡仪活动管理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第四章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骨灰安置与公墓管理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第五章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丧葬用品管理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第六章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法律责任</w:t>
      </w:r>
    </w:p>
    <w:p w:rsidR="00903572" w:rsidRPr="004A4597" w:rsidRDefault="00903572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第七章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附</w:t>
      </w:r>
      <w:r w:rsidR="00164E65">
        <w:rPr>
          <w:rFonts w:ascii="Times New Roman" w:eastAsia="楷体_GB2312" w:hAnsi="Times New Roman" w:cs="Times New Roman" w:hint="eastAsia"/>
          <w:bCs/>
          <w:color w:val="000000"/>
          <w:kern w:val="2"/>
          <w:sz w:val="32"/>
          <w:szCs w:val="32"/>
        </w:rPr>
        <w:t xml:space="preserve">　　</w:t>
      </w:r>
      <w:r w:rsidRPr="004A4597"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  <w:t>则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楷体_GB2312" w:hAnsi="Times New Roman" w:cs="Times New Roman"/>
          <w:bCs/>
          <w:color w:val="000000"/>
          <w:kern w:val="2"/>
          <w:sz w:val="32"/>
          <w:szCs w:val="32"/>
        </w:rPr>
      </w:pPr>
    </w:p>
    <w:p w:rsidR="00164E65" w:rsidRDefault="00164E65">
      <w:pPr>
        <w:adjustRightInd/>
        <w:snapToGrid/>
        <w:spacing w:line="220" w:lineRule="atLeast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br w:type="page"/>
      </w: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lastRenderedPageBreak/>
        <w:t xml:space="preserve">第一章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总</w:t>
      </w: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　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则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第一条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为了加强殡葬管理，深化殡葬改革，保护土地资源和节约用地，促进首都社会主义精神文明建设，根据国家有关法律、法规，结合本市实际情况，制定本条例。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本市各级人民政府应当加强对殡葬工作的领导，把殡葬工作列入国民经济和社会发展计划。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市民政局是本市殡葬管理的主管机关，负责本条例的组织实施。各区民政局负责本区的殡葬管理工作。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公安、工商行政、规划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国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土、卫生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计生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、环境保护等部门应当按照各自的职责，做好有关殡葬管理工作。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第四条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本市对殡葬行业实行统一管理。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本市殡葬管理工作坚持实行火葬，改革土葬，节约殡葬用地，提倡节俭、文明办丧事的方针。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jc w:val="both"/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第二章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丧葬管理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第五条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本市行政区域内，除市人民政府批准的边远山区为土葬改革区以外，其他地区均为实行火葬的地区。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第六条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殡仪馆、火葬场、骨灰堂、殡仪服务站等殡葬设施的规划、建设，依照国家有关规定执行。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第七条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火葬地区内死者的遗体，一律实行火化。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土葬改革区内死者的遗体应当在当地人民政府指定的区域内深葬。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第八条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尊重少数民族的丧葬习俗。实行土葬的，应当在指定地点埋葬。对自愿实行丧葬改革的，他人不得干涉。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第九条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正常死亡者的遗体，凭医疗卫生机构出具的医学死亡证明火化。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非正常死亡者的遗体和无名尸体，凭公安部门出具的死亡证明火化。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火葬地区内死者的遗体应当在本市内火葬场火化，禁止运往外地。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外地来京人员在本市死亡后因特殊原因确需运回原籍的，必须经遗体所在区的民政部门批准；未经批准，遗体存放单位不得放行。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第十一条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火葬地区内遗体的运送业务必须由殡仪馆承办。禁止其他单位和个人经营遗体运送业务。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殡仪服务人员应当按照死者单位或者其家属预定的时间、地点接运遗体。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第三章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殡仪活动管理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第十二条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禁止在殡仪活动中妨害公共秩序、危害公共安全、侵害他人合法权益。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禁止在殡仪活动中沿途抛撒纸钱。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第十三条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开展殡仪服务业务，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应当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经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区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民政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部门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批准。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第十四条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殡仪服务人员应当遵守职业道德，实行规范、文明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服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务，不得利用工作之便牟取私利、索要或者收受财物，不得刁难死者家属。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第十五条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殡仪服务收费应当执行国家和本市的有关规定。</w:t>
      </w:r>
    </w:p>
    <w:p w:rsid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第四章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骨灰安置与公墓管理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第十六条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倡导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以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深埋、播撒、存放等不占或者少占土地的方式安置骨灰；禁止将骨灰装棺埋葬。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第十七条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为公民提供骨灰安置的设施，由市民政局根据实际需要统一规划、设置。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农村地区可以根据需要建立为本乡、镇村民服务的公益性骨灰堂。区民政局应当对公益性骨灰堂的管理进行业务指导。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第十八条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本市严格控制公墓的建立。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远郊乡、镇、村建立为本地村民提供骨灰安葬的公益性公墓，应当报区民政局批准；市和区殡葬事业单位建立实行有偿服务的公墓，应当报市民政局批准。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建立公墓必须依照法律、法规的规定到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规划国土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部门办理用地审批手续。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第十九条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建立公墓应当利用荒山瘠地，不得占用耕地。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禁止在文物保护区、水源保护区、自然保护区、风景名胜区和河湖（含水库）、铁路、公路隔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离带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内，以及城市规划的特殊地区建立公墓。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禁止在公墓以外修墓立碑。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在公墓中安葬单人或者双人骨灰的墓穴，占地面积不得超过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平方米；安葬多人骨灰的墓穴，占地面积不得超过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平方米。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墓穴和骨灰格位的一个使用周期最长为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20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年，期满后可以续租。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第二十一条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公益性公墓的管理者不得利用公益性公墓从事经营活动。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第二十二条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公墓应当凭火化证明或者其他合法证明出租墓穴和骨灰格位；禁止出租寿穴。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承租人不得转让墓穴和骨灰格位。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禁止利用墓穴和骨灰格位进行炒买炒卖等非法经营活动。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第五章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丧葬用品管理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三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禁止任何单位或者个人制造、销售冥票和纸人、纸马等封建迷信殡葬用品。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禁止在火葬地区内生产、经营棺木。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四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经营丧葬用品应当明码标价，由市和区民政局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会同物价、工商行政管理部门予以监督。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第六章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法律责任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五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违反本条例第六条、第十八条的规定，擅自兴建殡仪馆、火葬场、骨灰堂、殡仪服务站和公墓的，由民政部门会同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规划国土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部门予以取缔，责令恢复原状，没收违法所得，可以并处违法所得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六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违反本条例第七条第一款、第十九条第三款的规定，火葬地区内死者的遗体不实行火化，或者在公墓以外修墓立碑的，由民政部门责令限期改正；拒不改正的，可以强制执行。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七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违反本条例第十条第二款的规定，擅自放行未获外运批准的遗体的，由民政部门对擅自放行的遗体存放单位处以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500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3000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第二十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八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违反本条例第十二条第一款的规定，在殡仪活动中有妨害公共秩序、危害公共安全、侵害他人合法权益行为的，民政部门应当予以制止；违反治安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管理的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，由公安机关依照《中华人民共和国治安管理处罚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法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》给予处罚；构成犯罪的，依法追究刑事责任。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二十九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违反本条例第十三条的规定，未经批准开展殡仪服务业务的，由民政部门责令限期改正，没收违法所得，并处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以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1000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5000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十四条的规定，殡仪服务人员不按规定履行服务职责以及利用工作之便牟取私利、索要或者收受财物，刁难死者家属的，由所在单位或者其上级主管部门责令改正，退还索要、收受的财物，根据情节给予行政处分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一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违反本条例第二十条第一款的规定，墓穴占地面积超过规定标准的，由民政部门责令限期改正，没收违法所得，可以并处违法所得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二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违反本条例第二十一条的规定，利用公益性公墓从事经营活动的，由民政部门没收违法所得；情节严重的，处以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5000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万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三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二十二条的规定，出租寿穴或者炒买炒卖墓穴和骨灰格位的，由民政部门会同工商行政管理部门责令停止违法活动，限期改正；逾期拒不改正的，由工商行政管理部门没收违法所得，可以并处违法所得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四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违反本条例第二十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三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条第一款的规定，制造、销售封建迷信殡葬用品的，由民政部门会同工商行政管理部门予以没收，可以并处制造、销售金额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倍以下的罚款。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五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违反本条例第二十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三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条第二款的规定，在火葬区内生产、经营棺木的，由民政部门责令停止生产、经营，没收棺木以及违法所得，并处以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500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元以上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1000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元以下的罚款。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lastRenderedPageBreak/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六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违反本条例，属于违反工商行政、物价、规划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国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土、卫生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计生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、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城市管理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、环境保护等方面法律、法规和规章的，由有关主管部门依法处理。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七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当事人对行政处罚决定不服的，可以依法申请复议或者向人民法院提起诉讼。当事人逾期不申请复议，也不提起诉讼，又不履行处罚决定的，由作出处罚决定的机关申请人民法院强制执行。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第三十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八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对拒绝、阻碍殡葬管理工作人员依法执行职务或者侮辱、殴打管理工作人员的，由公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安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机关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依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照《中华人民共和国治安管理处罚</w:t>
      </w:r>
      <w:r w:rsidRPr="004A459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法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》给予处罚；构成犯罪的，依法追究刑事责任。</w:t>
      </w: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三十九</w:t>
      </w: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殡葬管理工作人员玩忽职守、滥用职权、徇私舞弊的，由其所在单位或者上级主管机关给予行政处分；构成犯罪的，依法追究刑事责任。</w:t>
      </w:r>
    </w:p>
    <w:p w:rsidR="0047189C" w:rsidRPr="004A4597" w:rsidRDefault="0047189C" w:rsidP="00324C29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903572" w:rsidRPr="00164E65" w:rsidRDefault="00164E65" w:rsidP="00164E65">
      <w:pPr>
        <w:widowControl w:val="0"/>
        <w:overflowPunct w:val="0"/>
        <w:spacing w:after="0" w:line="580" w:lineRule="exact"/>
        <w:jc w:val="center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第七章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附</w:t>
      </w:r>
      <w:r w:rsidRPr="00164E65"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 xml:space="preserve">　　</w:t>
      </w:r>
      <w:r w:rsidR="00903572" w:rsidRPr="00164E65">
        <w:rPr>
          <w:rFonts w:ascii="Times New Roman" w:eastAsia="黑体" w:hAnsi="Times New Roman" w:cs="Times New Roman"/>
          <w:bCs/>
          <w:kern w:val="2"/>
          <w:sz w:val="32"/>
          <w:szCs w:val="32"/>
        </w:rPr>
        <w:t>则</w:t>
      </w:r>
    </w:p>
    <w:p w:rsidR="0047189C" w:rsidRPr="004A4597" w:rsidRDefault="0047189C" w:rsidP="00324C29">
      <w:pPr>
        <w:pStyle w:val="a5"/>
        <w:widowControl w:val="0"/>
        <w:overflowPunct w:val="0"/>
        <w:spacing w:after="0" w:line="580" w:lineRule="exact"/>
        <w:ind w:firstLineChars="0" w:firstLine="0"/>
        <w:jc w:val="both"/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</w:pPr>
    </w:p>
    <w:p w:rsidR="00903572" w:rsidRPr="004A4597" w:rsidRDefault="00903572" w:rsidP="00164E65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第四十条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华侨、香港特别行政区居民、澳门特别行政区居民和台湾同胞以及外国人的殡葬事宜，按照国家有关规定执行。</w:t>
      </w:r>
    </w:p>
    <w:p w:rsidR="004358AB" w:rsidRPr="00F352EA" w:rsidRDefault="00903572" w:rsidP="00F352EA">
      <w:pPr>
        <w:widowControl w:val="0"/>
        <w:overflowPunct w:val="0"/>
        <w:spacing w:after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A4597">
        <w:rPr>
          <w:rFonts w:ascii="Times New Roman" w:eastAsia="黑体" w:hAnsi="Times New Roman" w:cs="Times New Roman"/>
          <w:bCs/>
          <w:color w:val="000000"/>
          <w:kern w:val="2"/>
          <w:sz w:val="32"/>
          <w:szCs w:val="32"/>
        </w:rPr>
        <w:t>第四十</w:t>
      </w:r>
      <w:r w:rsidRPr="004A4597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>一条</w:t>
      </w:r>
      <w:r w:rsidR="00164E65">
        <w:rPr>
          <w:rFonts w:ascii="Times New Roman" w:eastAsia="黑体" w:hAnsi="Times New Roman" w:cs="Times New Roman" w:hint="eastAsia"/>
          <w:bCs/>
          <w:color w:val="000000"/>
          <w:kern w:val="2"/>
          <w:sz w:val="32"/>
          <w:szCs w:val="32"/>
        </w:rPr>
        <w:t xml:space="preserve">　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本条例自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1996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年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10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月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A4597">
        <w:rPr>
          <w:rFonts w:ascii="Times New Roman" w:eastAsia="仿宋_GB2312" w:hAnsi="Times New Roman" w:cs="Times New Roman"/>
          <w:kern w:val="2"/>
          <w:sz w:val="32"/>
          <w:szCs w:val="32"/>
        </w:rPr>
        <w:t>日起施行。</w:t>
      </w:r>
    </w:p>
    <w:sectPr w:rsidR="004358AB" w:rsidRPr="00F352EA" w:rsidSect="008421BF">
      <w:footerReference w:type="even" r:id="rId7"/>
      <w:footerReference w:type="default" r:id="rId8"/>
      <w:pgSz w:w="11906" w:h="16838" w:code="9"/>
      <w:pgMar w:top="2098" w:right="1418" w:bottom="1871" w:left="1418" w:header="851" w:footer="141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FB" w:rsidRDefault="003B0DFB" w:rsidP="00903572">
      <w:pPr>
        <w:spacing w:after="0"/>
      </w:pPr>
      <w:r>
        <w:separator/>
      </w:r>
    </w:p>
  </w:endnote>
  <w:endnote w:type="continuationSeparator" w:id="0">
    <w:p w:rsidR="003B0DFB" w:rsidRDefault="003B0DFB" w:rsidP="00903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3350"/>
      <w:docPartObj>
        <w:docPartGallery w:val="Page Numbers (Bottom of Page)"/>
        <w:docPartUnique/>
      </w:docPartObj>
    </w:sdtPr>
    <w:sdtEndPr/>
    <w:sdtContent>
      <w:p w:rsidR="008421BF" w:rsidRDefault="008421BF" w:rsidP="008421BF">
        <w:pPr>
          <w:pStyle w:val="a4"/>
          <w:spacing w:after="0"/>
        </w:pPr>
        <w:r w:rsidRPr="008421BF">
          <w:rPr>
            <w:rFonts w:ascii="Times New Roman" w:eastAsiaTheme="minorEastAsia" w:hAnsiTheme="minorEastAsia" w:cs="Times New Roman"/>
            <w:sz w:val="28"/>
            <w:szCs w:val="28"/>
          </w:rPr>
          <w:t>－</w:t>
        </w:r>
        <w:r w:rsidR="00D42FD3" w:rsidRPr="008421BF">
          <w:rPr>
            <w:rFonts w:ascii="Times New Roman" w:eastAsiaTheme="minorEastAsia" w:hAnsi="Times New Roman" w:cs="Times New Roman"/>
            <w:sz w:val="28"/>
            <w:szCs w:val="28"/>
          </w:rPr>
          <w:fldChar w:fldCharType="begin"/>
        </w:r>
        <w:r w:rsidRPr="008421BF">
          <w:rPr>
            <w:rFonts w:ascii="Times New Roman" w:eastAsiaTheme="minorEastAsia" w:hAnsi="Times New Roman" w:cs="Times New Roman"/>
            <w:sz w:val="28"/>
            <w:szCs w:val="28"/>
          </w:rPr>
          <w:instrText xml:space="preserve"> PAGE   \* MERGEFORMAT </w:instrText>
        </w:r>
        <w:r w:rsidR="00D42FD3" w:rsidRPr="008421BF">
          <w:rPr>
            <w:rFonts w:ascii="Times New Roman" w:eastAsiaTheme="minorEastAsia" w:hAnsi="Times New Roman" w:cs="Times New Roman"/>
            <w:sz w:val="28"/>
            <w:szCs w:val="28"/>
          </w:rPr>
          <w:fldChar w:fldCharType="separate"/>
        </w:r>
        <w:r w:rsidR="003B66E7" w:rsidRPr="003B66E7">
          <w:rPr>
            <w:rFonts w:ascii="Times New Roman" w:eastAsiaTheme="minorEastAsia" w:hAnsi="Times New Roman" w:cs="Times New Roman"/>
            <w:noProof/>
            <w:sz w:val="28"/>
            <w:szCs w:val="28"/>
            <w:lang w:val="zh-CN"/>
          </w:rPr>
          <w:t>8</w:t>
        </w:r>
        <w:r w:rsidR="00D42FD3" w:rsidRPr="008421BF">
          <w:rPr>
            <w:rFonts w:ascii="Times New Roman" w:eastAsiaTheme="minorEastAsia" w:hAnsi="Times New Roman" w:cs="Times New Roman"/>
            <w:sz w:val="28"/>
            <w:szCs w:val="28"/>
          </w:rPr>
          <w:fldChar w:fldCharType="end"/>
        </w:r>
        <w:r w:rsidRPr="008421BF">
          <w:rPr>
            <w:rFonts w:ascii="Times New Roman" w:eastAsiaTheme="minorEastAsia" w:hAnsiTheme="minorEastAsia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黑体" w:hAnsi="Times New Roman" w:cs="Times New Roman"/>
        <w:sz w:val="28"/>
        <w:szCs w:val="28"/>
      </w:rPr>
      <w:id w:val="8833339"/>
      <w:docPartObj>
        <w:docPartGallery w:val="Page Numbers (Bottom of Page)"/>
        <w:docPartUnique/>
      </w:docPartObj>
    </w:sdtPr>
    <w:sdtEndPr>
      <w:rPr>
        <w:rFonts w:ascii="Tahoma" w:eastAsia="微软雅黑" w:hAnsi="Tahoma" w:cstheme="minorBidi"/>
        <w:sz w:val="18"/>
        <w:szCs w:val="18"/>
      </w:rPr>
    </w:sdtEndPr>
    <w:sdtContent>
      <w:p w:rsidR="008421BF" w:rsidRDefault="008421BF" w:rsidP="008421BF">
        <w:pPr>
          <w:pStyle w:val="a4"/>
          <w:spacing w:after="0"/>
          <w:jc w:val="right"/>
        </w:pPr>
        <w:r w:rsidRPr="008421BF">
          <w:rPr>
            <w:rFonts w:ascii="Times New Roman" w:eastAsia="黑体" w:hAnsi="黑体" w:cs="Times New Roman"/>
            <w:sz w:val="28"/>
            <w:szCs w:val="28"/>
          </w:rPr>
          <w:t>－</w:t>
        </w:r>
        <w:r w:rsidR="00D42FD3" w:rsidRPr="008421BF">
          <w:rPr>
            <w:rFonts w:ascii="Times New Roman" w:eastAsia="黑体" w:hAnsi="Times New Roman" w:cs="Times New Roman"/>
            <w:sz w:val="28"/>
            <w:szCs w:val="28"/>
          </w:rPr>
          <w:fldChar w:fldCharType="begin"/>
        </w:r>
        <w:r w:rsidRPr="008421BF">
          <w:rPr>
            <w:rFonts w:ascii="Times New Roman" w:eastAsia="黑体" w:hAnsi="Times New Roman" w:cs="Times New Roman"/>
            <w:sz w:val="28"/>
            <w:szCs w:val="28"/>
          </w:rPr>
          <w:instrText xml:space="preserve"> PAGE   \* MERGEFORMAT </w:instrText>
        </w:r>
        <w:r w:rsidR="00D42FD3" w:rsidRPr="008421BF">
          <w:rPr>
            <w:rFonts w:ascii="Times New Roman" w:eastAsia="黑体" w:hAnsi="Times New Roman" w:cs="Times New Roman"/>
            <w:sz w:val="28"/>
            <w:szCs w:val="28"/>
          </w:rPr>
          <w:fldChar w:fldCharType="separate"/>
        </w:r>
        <w:r w:rsidR="003B66E7" w:rsidRPr="003B66E7">
          <w:rPr>
            <w:rFonts w:ascii="Times New Roman" w:eastAsia="黑体" w:hAnsi="Times New Roman" w:cs="Times New Roman"/>
            <w:noProof/>
            <w:sz w:val="28"/>
            <w:szCs w:val="28"/>
            <w:lang w:val="zh-CN"/>
          </w:rPr>
          <w:t>1</w:t>
        </w:r>
        <w:r w:rsidR="00D42FD3" w:rsidRPr="008421BF">
          <w:rPr>
            <w:rFonts w:ascii="Times New Roman" w:eastAsia="黑体" w:hAnsi="Times New Roman" w:cs="Times New Roman"/>
            <w:sz w:val="28"/>
            <w:szCs w:val="28"/>
          </w:rPr>
          <w:fldChar w:fldCharType="end"/>
        </w:r>
        <w:r w:rsidRPr="008421BF">
          <w:rPr>
            <w:rFonts w:ascii="Times New Roman" w:eastAsia="黑体" w:hAnsi="黑体" w:cs="Times New Roman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FB" w:rsidRDefault="003B0DFB" w:rsidP="00903572">
      <w:pPr>
        <w:spacing w:after="0"/>
      </w:pPr>
      <w:r>
        <w:separator/>
      </w:r>
    </w:p>
  </w:footnote>
  <w:footnote w:type="continuationSeparator" w:id="0">
    <w:p w:rsidR="003B0DFB" w:rsidRDefault="003B0DFB" w:rsidP="00903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37522"/>
    <w:multiLevelType w:val="hybridMultilevel"/>
    <w:tmpl w:val="29A63244"/>
    <w:lvl w:ilvl="0" w:tplc="17BAAC00">
      <w:start w:val="1"/>
      <w:numFmt w:val="japaneseCounting"/>
      <w:lvlText w:val="第%1章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42AF"/>
    <w:rsid w:val="00164E65"/>
    <w:rsid w:val="001C35B8"/>
    <w:rsid w:val="00252E64"/>
    <w:rsid w:val="002621B7"/>
    <w:rsid w:val="002E0103"/>
    <w:rsid w:val="00323B43"/>
    <w:rsid w:val="00324C29"/>
    <w:rsid w:val="003B0DFB"/>
    <w:rsid w:val="003B66E7"/>
    <w:rsid w:val="003D37D8"/>
    <w:rsid w:val="00426133"/>
    <w:rsid w:val="004358AB"/>
    <w:rsid w:val="0047189C"/>
    <w:rsid w:val="004A4597"/>
    <w:rsid w:val="00631145"/>
    <w:rsid w:val="008421BF"/>
    <w:rsid w:val="008B7726"/>
    <w:rsid w:val="00903572"/>
    <w:rsid w:val="00A16625"/>
    <w:rsid w:val="00D31D50"/>
    <w:rsid w:val="00D42FD3"/>
    <w:rsid w:val="00F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011356-9A11-4FDE-B75E-629A962E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5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5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5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57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718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12</cp:revision>
  <dcterms:created xsi:type="dcterms:W3CDTF">2008-09-11T17:20:00Z</dcterms:created>
  <dcterms:modified xsi:type="dcterms:W3CDTF">2017-02-25T13:35:00Z</dcterms:modified>
</cp:coreProperties>
</file>