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77" w:rsidRDefault="00E05B77" w:rsidP="00C76AB7">
      <w:pPr>
        <w:adjustRightInd w:val="0"/>
        <w:snapToGrid w:val="0"/>
        <w:spacing w:line="560" w:lineRule="exact"/>
        <w:jc w:val="center"/>
        <w:rPr>
          <w:rFonts w:ascii="宋体" w:hAnsi="宋体" w:cs="宋体"/>
          <w:color w:val="000000" w:themeColor="text1"/>
          <w:sz w:val="44"/>
          <w:szCs w:val="44"/>
        </w:rPr>
      </w:pPr>
    </w:p>
    <w:p w:rsidR="00E05B77" w:rsidRDefault="00E05B77" w:rsidP="00C76AB7">
      <w:pPr>
        <w:adjustRightInd w:val="0"/>
        <w:snapToGrid w:val="0"/>
        <w:spacing w:line="560" w:lineRule="exact"/>
        <w:jc w:val="center"/>
        <w:rPr>
          <w:rFonts w:ascii="宋体" w:hAnsi="宋体" w:cs="宋体"/>
          <w:color w:val="000000" w:themeColor="text1"/>
          <w:sz w:val="44"/>
          <w:szCs w:val="44"/>
        </w:rPr>
      </w:pPr>
    </w:p>
    <w:p w:rsidR="00E05B77" w:rsidRDefault="00305E79" w:rsidP="00C76AB7">
      <w:pPr>
        <w:pStyle w:val="1"/>
        <w:shd w:val="clear" w:color="auto" w:fill="FFFFFF"/>
        <w:spacing w:before="0" w:beforeAutospacing="0" w:after="0" w:afterAutospacing="0" w:line="560" w:lineRule="exact"/>
        <w:jc w:val="center"/>
        <w:rPr>
          <w:b w:val="0"/>
          <w:bCs w:val="0"/>
          <w:color w:val="000000" w:themeColor="text1"/>
          <w:sz w:val="44"/>
          <w:szCs w:val="44"/>
        </w:rPr>
      </w:pPr>
      <w:r>
        <w:rPr>
          <w:rFonts w:hint="eastAsia"/>
          <w:b w:val="0"/>
          <w:bCs w:val="0"/>
          <w:color w:val="000000" w:themeColor="text1"/>
          <w:sz w:val="44"/>
          <w:szCs w:val="44"/>
        </w:rPr>
        <w:t>阿拉</w:t>
      </w:r>
      <w:bookmarkStart w:id="0" w:name="_GoBack"/>
      <w:bookmarkEnd w:id="0"/>
      <w:r>
        <w:rPr>
          <w:rFonts w:hint="eastAsia"/>
          <w:b w:val="0"/>
          <w:bCs w:val="0"/>
          <w:color w:val="000000" w:themeColor="text1"/>
          <w:sz w:val="44"/>
          <w:szCs w:val="44"/>
        </w:rPr>
        <w:t>尔经济技术开发区条例</w:t>
      </w:r>
    </w:p>
    <w:p w:rsidR="00C76AB7" w:rsidRDefault="00C76AB7" w:rsidP="00C76AB7">
      <w:pPr>
        <w:adjustRightInd w:val="0"/>
        <w:snapToGrid w:val="0"/>
        <w:spacing w:line="560" w:lineRule="exact"/>
        <w:ind w:rightChars="296" w:right="622"/>
        <w:rPr>
          <w:rFonts w:ascii="宋体" w:hAnsi="宋体" w:cs="宋体" w:hint="eastAsia"/>
          <w:color w:val="000000" w:themeColor="text1"/>
          <w:sz w:val="44"/>
          <w:szCs w:val="44"/>
        </w:rPr>
      </w:pPr>
    </w:p>
    <w:p w:rsidR="00C76AB7" w:rsidRDefault="00305E79" w:rsidP="00C76AB7">
      <w:pPr>
        <w:adjustRightInd w:val="0"/>
        <w:snapToGrid w:val="0"/>
        <w:spacing w:line="560" w:lineRule="exact"/>
        <w:ind w:leftChars="337" w:left="708" w:rightChars="296" w:right="622"/>
        <w:jc w:val="center"/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</w:t>
      </w:r>
      <w:r w:rsidR="00E03512" w:rsidRPr="00611963"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2016年9月29日新疆维吾尔自治区第十二届人民</w:t>
      </w:r>
    </w:p>
    <w:p w:rsidR="00E05B77" w:rsidRPr="00C76AB7" w:rsidRDefault="00E03512" w:rsidP="00C76AB7">
      <w:pPr>
        <w:adjustRightInd w:val="0"/>
        <w:snapToGrid w:val="0"/>
        <w:spacing w:line="560" w:lineRule="exact"/>
        <w:ind w:leftChars="337" w:left="708" w:rightChars="296" w:right="622"/>
        <w:jc w:val="center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 w:rsidRPr="00611963"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代表大会</w:t>
      </w:r>
      <w:r w:rsidRPr="00611963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常务委员会第二十四次会议通过</w:t>
      </w:r>
      <w:r w:rsidR="00305E79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）</w:t>
      </w:r>
    </w:p>
    <w:p w:rsidR="00E05B77" w:rsidRDefault="00E05B77" w:rsidP="00C76AB7">
      <w:pPr>
        <w:adjustRightInd w:val="0"/>
        <w:snapToGrid w:val="0"/>
        <w:spacing w:line="560" w:lineRule="exact"/>
        <w:ind w:leftChars="300" w:left="630" w:rightChars="300" w:right="630"/>
        <w:rPr>
          <w:rFonts w:ascii="楷体" w:eastAsia="黑体" w:hAnsi="楷体" w:cs="楷体"/>
          <w:color w:val="000000" w:themeColor="text1"/>
          <w:sz w:val="32"/>
          <w:szCs w:val="32"/>
        </w:rPr>
      </w:pP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为了促进阿拉尔经济技术开发区的建设和发展，规范管理，发挥窗口、示范、辐射和带动作用，根据有关法律、法规，结合本地实际，制定本条例。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本条例适用于经国务院批准设立的阿拉尔经济技术开发区（以下简称开发区）。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开发区规划面积为13.5平方公里。其四至范围：东至阿拉尔市区西北约8公里处西一干渠；南至阿塔公路；西至原九团新灌区；北至塔北二干排渠。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开发区的建设、发展和管理，应当遵循统一规划、市场主导、产业聚集、内引外联、产城融合的原则，有效利用区位优势，优化产业结构，提升综合竞争实力，重点发展农副产品精深加工和纺织服装产业集聚区。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投资者在开发区内的投资、财产、收益和其他合法权益，受法律保护。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lastRenderedPageBreak/>
        <w:t>第五条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阿拉尔经济技术开发区管理委员会（以下简称管委会）是阿拉尔市人民政府的派出机构，在规定的职责范围内，行使经济管理权限和行政管理职能，对开发区实行统一领导和管理。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管委会应当按照精简、统一、效能的原则，设置必要的职能部门，并接受上级有关部门的业务指导和监督。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管委会履行下列职责：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（一）负责法律、法规及相关政策在开发区的贯彻实施，制定开发区的各项管理制度；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（二）编制开发区总体规划和专项发展规划，经批准后组织实施；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（三）按照规定权限审批、核准各类投资项目；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（四）负责开发区招商引资、进出口贸易和对外经济技术合作等工作；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（五）负责开发区财政事务、国有资产管理、投资、融资工作；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（六）负责开发区公共设施、基础设施的规划、建设和管理；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（七）负责开发区的环境保护、安全生产、食品安全、统计、人力资源和社会保障、社会治安管理工作；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（八）协调配合规划、国土资源、工商、税务、质量技术监督等部门设在开发区内派出机构的工作；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（九）行使开发区的其他职权。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lastRenderedPageBreak/>
        <w:t>第八条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管委会负责开发区建筑市场和建筑活动的监督，受委托办理建设项目的建设规划选址意见书、建设用地规划许可证、建设工程规划许可证和施工许可证。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管委会对开发区内的国土资源进行依法监督，受委托行使土地利用年度计划编制、土地储备和土地出让、转让的受理、报批，办理相关权证。开发区土地出让收益主要用于开发区的基础设施建设。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开发区财政纳入阿拉尔市财政预算管理，实行独立核算，条件成熟可以设立国库。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开发区财政收入，除按有关规定上缴外，应当用于开发区的基础设施建设和对引进的重大项目、企业科技进步、自主创新、人才引进等扶持鼓励。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管委会实行政务公开，应当通过电子显示屏、网站或者信息公示栏等方式，公布行政许可事项、收费事项、办事程序、办理时限和服务信息等，对涉及公共利益的重大事项应当举行听证。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管委会应当建立政务服务中心，集中办理政务服务事项，优化行政许可和服务流程，推行一个窗口受理、集中办理、限时办结，为投资者提供优质、便捷服务。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第十三条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管委会所属的职能部门受阿拉尔市人民政府有关部门委托，行使相应的行政执法权。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lastRenderedPageBreak/>
        <w:t>第十四条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管委会应当建立投诉处理机制，及时解决公民、法人和其他组织反映的问题。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第十五条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投资者在开发区内投资兴办企业事业项目，应当符合国家和自治区的产业政策、产业导向和技术先进的新兴企业。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鼓励企业、高等院校、科研机构以及其他组织和个人利用科研成果、专利技术，到开发区创办高新技术企业或者实施高新技术产业化项目。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开发区内的企业可以设立技术研发中心、工程实验室、博士后工作站。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第十六条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开发区应当严格资源节约和环境准入条件，对进入开发区内的企业和项目，应当依法进行环境影响评价，不符合环境保护标准的企业和项目，不得进入。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开发区内的企业事业单位，应当遵守环境保护法律、法规的规定，污染物的排放应当符合国家或者地方排放标准。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第十七条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投资者在开发区投资开办各类企业事业项目，按规定权限审核批准后，依法办理工商、税务、质量监督等相关登记手续。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第十八条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开发区内的企业应当设立会计账簿，按规定向管委会报送统计、会计报表，并自觉接受有关部门的监督。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第十九条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开发区内的企业变更、歇业或者终止经营，应当履行工商、税务等相关手续，并向管委会备案。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lastRenderedPageBreak/>
        <w:t>第二十条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鼓励在开发区内设立金融、保险、法律、会计、评估、咨询、知识产权交易、人力资源等中介服务机构。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第二十一条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管委会应当建立健全知识产权应用和保护机制，设立专利资助资金，用于资助开发区内企业事业单位及个人开展科技创新、申请专利及实施专利。</w:t>
      </w:r>
    </w:p>
    <w:p w:rsidR="00E05B77" w:rsidRPr="00C76AB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第二十二条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管委会建立知识产权转化奖励机制，对经济或者社会效益显著的知识产权项目给予奖励。</w:t>
      </w:r>
      <w:hyperlink r:id="rId7" w:history="1"/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第二十三条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开发区内的各类企业享受国家、自治区、兵团及阿拉尔市规定的各项优惠待遇。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第二十四条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鼓励各类科技人员、高级管理人员到开发区工作、创业，享受国家、自治区、兵团及阿拉尔市对引进人才的优惠待遇。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黑体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第二十五条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开发区从业人员在落户、子女入学入托、就业、社会保障等方面与阿拉尔市居民享受同等待遇。</w:t>
      </w:r>
    </w:p>
    <w:p w:rsidR="00E05B77" w:rsidRDefault="00305E79" w:rsidP="00C76AB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0"/>
          <w:sz w:val="32"/>
          <w:szCs w:val="32"/>
        </w:rPr>
        <w:t>第二十六条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本条例自2016年11月1日起施行。</w:t>
      </w:r>
    </w:p>
    <w:p w:rsidR="00E05B77" w:rsidRDefault="00E05B77" w:rsidP="00C76AB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E05B77" w:rsidSect="00C76AB7">
      <w:footerReference w:type="even" r:id="rId8"/>
      <w:footerReference w:type="default" r:id="rId9"/>
      <w:pgSz w:w="11906" w:h="16838"/>
      <w:pgMar w:top="2098" w:right="1531" w:bottom="2098" w:left="1531" w:header="850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BF4" w:rsidRDefault="00943BF4" w:rsidP="00E05B77">
      <w:r>
        <w:separator/>
      </w:r>
    </w:p>
  </w:endnote>
  <w:endnote w:type="continuationSeparator" w:id="0">
    <w:p w:rsidR="00943BF4" w:rsidRDefault="00943BF4" w:rsidP="00E05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77" w:rsidRDefault="003A4BD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rnkk/FAQAAawMAAA4AAAAAAAAAAQAgAAAAHgEAAGRycy9lMm9Eb2MueG1s&#10;UEsFBgAAAAAGAAYAWQEAAFUFAAAAAA==&#10;" filled="f" stroked="f">
          <v:textbox style="mso-fit-shape-to-text:t" inset="0,0,0,0">
            <w:txbxContent>
              <w:p w:rsidR="00E05B77" w:rsidRDefault="00305E79">
                <w:pPr>
                  <w:adjustRightInd w:val="0"/>
                  <w:snapToGrid w:val="0"/>
                  <w:spacing w:line="240" w:lineRule="atLeast"/>
                  <w:ind w:leftChars="200" w:left="42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3A4BDA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A4BDA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76AB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A4BDA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77" w:rsidRDefault="003A4BD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E05B77" w:rsidRDefault="00305E79">
                <w:pPr>
                  <w:adjustRightInd w:val="0"/>
                  <w:snapToGrid w:val="0"/>
                  <w:spacing w:line="240" w:lineRule="atLeast"/>
                  <w:ind w:rightChars="200" w:right="420"/>
                  <w:rPr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3A4BDA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A4BDA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76AB7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3A4BDA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BF4" w:rsidRDefault="00943BF4" w:rsidP="00E05B77">
      <w:r>
        <w:separator/>
      </w:r>
    </w:p>
  </w:footnote>
  <w:footnote w:type="continuationSeparator" w:id="0">
    <w:p w:rsidR="00943BF4" w:rsidRDefault="00943BF4" w:rsidP="00E05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507D79"/>
    <w:rsid w:val="00305E79"/>
    <w:rsid w:val="003A4BDA"/>
    <w:rsid w:val="00943BF4"/>
    <w:rsid w:val="00C76AB7"/>
    <w:rsid w:val="00E03512"/>
    <w:rsid w:val="00E05B77"/>
    <w:rsid w:val="05097AD0"/>
    <w:rsid w:val="09507D79"/>
    <w:rsid w:val="10B63C0C"/>
    <w:rsid w:val="166E52DE"/>
    <w:rsid w:val="280A3758"/>
    <w:rsid w:val="31DD71E5"/>
    <w:rsid w:val="3AB24E09"/>
    <w:rsid w:val="44611165"/>
    <w:rsid w:val="688B2412"/>
    <w:rsid w:val="6F6010DB"/>
    <w:rsid w:val="7A8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B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05B7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05B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05B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b.corp.163.com/gb/lega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861;&#35268;&#25991;&#26412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法规文本</Template>
  <TotalTime>5</TotalTime>
  <Pages>5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3</cp:revision>
  <dcterms:created xsi:type="dcterms:W3CDTF">2017-03-14T10:06:00Z</dcterms:created>
  <dcterms:modified xsi:type="dcterms:W3CDTF">2019-08-23T08:31:00Z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