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val="0"/>
        <w:wordWrap/>
        <w:overflowPunct w:val="0"/>
        <w:topLinePunct w:val="0"/>
        <w:autoSpaceDE w:val="0"/>
        <w:autoSpaceDN w:val="0"/>
        <w:bidi w:val="0"/>
        <w:adjustRightInd/>
        <w:snapToGrid/>
        <w:spacing w:line="240" w:lineRule="auto"/>
        <w:ind w:left="0" w:leftChars="0" w:right="0" w:rightChars="0"/>
        <w:jc w:val="center"/>
        <w:textAlignment w:val="auto"/>
        <w:outlineLvl w:val="9"/>
        <w:rPr>
          <w:rStyle w:val="13"/>
          <w:rFonts w:hint="eastAsia" w:ascii="仿宋_GB2312" w:hAnsi="仿宋_GB2312" w:eastAsia="仿宋_GB2312" w:cs="仿宋_GB2312"/>
          <w:color w:val="000000"/>
          <w:sz w:val="32"/>
          <w:szCs w:val="32"/>
        </w:rPr>
      </w:pPr>
    </w:p>
    <w:p>
      <w:pPr>
        <w:keepNext w:val="0"/>
        <w:keepLines w:val="0"/>
        <w:pageBreakBefore w:val="0"/>
        <w:widowControl w:val="0"/>
        <w:kinsoku w:val="0"/>
        <w:wordWrap/>
        <w:overflowPunct w:val="0"/>
        <w:topLinePunct w:val="0"/>
        <w:autoSpaceDE w:val="0"/>
        <w:autoSpaceDN w:val="0"/>
        <w:bidi w:val="0"/>
        <w:adjustRightInd/>
        <w:snapToGrid/>
        <w:spacing w:line="240" w:lineRule="auto"/>
        <w:ind w:left="0" w:leftChars="0" w:right="0" w:rightChars="0"/>
        <w:jc w:val="center"/>
        <w:textAlignment w:val="auto"/>
        <w:outlineLvl w:val="9"/>
        <w:rPr>
          <w:rStyle w:val="13"/>
          <w:rFonts w:hint="eastAsia" w:ascii="仿宋_GB2312" w:hAnsi="仿宋_GB2312" w:eastAsia="仿宋_GB2312" w:cs="仿宋_GB2312"/>
          <w:color w:val="000000"/>
          <w:sz w:val="32"/>
          <w:szCs w:val="32"/>
        </w:rPr>
      </w:pPr>
    </w:p>
    <w:p>
      <w:pPr>
        <w:keepNext w:val="0"/>
        <w:keepLines w:val="0"/>
        <w:pageBreakBefore w:val="0"/>
        <w:widowControl w:val="0"/>
        <w:kinsoku w:val="0"/>
        <w:wordWrap/>
        <w:overflowPunct w:val="0"/>
        <w:topLinePunct w:val="0"/>
        <w:autoSpaceDE w:val="0"/>
        <w:autoSpaceDN w:val="0"/>
        <w:bidi w:val="0"/>
        <w:adjustRightInd/>
        <w:snapToGrid/>
        <w:spacing w:line="240" w:lineRule="auto"/>
        <w:ind w:left="0" w:leftChars="0" w:right="0" w:rightChars="0"/>
        <w:jc w:val="center"/>
        <w:textAlignment w:val="auto"/>
        <w:outlineLvl w:val="9"/>
        <w:rPr>
          <w:rStyle w:val="13"/>
          <w:rFonts w:hint="eastAsia" w:asciiTheme="majorEastAsia" w:hAnsiTheme="majorEastAsia" w:eastAsiaTheme="majorEastAsia" w:cstheme="majorEastAsia"/>
          <w:color w:val="000000"/>
          <w:sz w:val="44"/>
          <w:szCs w:val="44"/>
        </w:rPr>
      </w:pPr>
      <w:r>
        <w:rPr>
          <w:rStyle w:val="13"/>
          <w:rFonts w:hint="eastAsia" w:asciiTheme="majorEastAsia" w:hAnsiTheme="majorEastAsia" w:eastAsiaTheme="majorEastAsia" w:cstheme="majorEastAsia"/>
          <w:color w:val="000000"/>
          <w:sz w:val="44"/>
          <w:szCs w:val="44"/>
        </w:rPr>
        <w:t>合肥市市直机关公务员转任办法</w:t>
      </w:r>
    </w:p>
    <w:p>
      <w:pPr>
        <w:pStyle w:val="7"/>
        <w:keepNext w:val="0"/>
        <w:keepLines w:val="0"/>
        <w:pageBreakBefore w:val="0"/>
        <w:widowControl w:val="0"/>
        <w:wordWrap/>
        <w:topLinePunct w:val="0"/>
        <w:bidi w:val="0"/>
        <w:adjustRightInd/>
        <w:snapToGrid/>
        <w:spacing w:before="0" w:beforeAutospacing="0" w:after="0" w:afterAutospacing="0" w:line="240" w:lineRule="auto"/>
        <w:ind w:left="0" w:leftChars="0" w:right="0" w:rightChars="0" w:firstLine="640" w:firstLineChars="200"/>
        <w:jc w:val="center"/>
        <w:textAlignment w:val="auto"/>
        <w:outlineLvl w:val="9"/>
        <w:rPr>
          <w:rFonts w:hint="eastAsia" w:ascii="仿宋_GB2312" w:hAnsi="仿宋_GB2312" w:eastAsia="仿宋_GB2312" w:cs="仿宋_GB2312"/>
          <w:sz w:val="32"/>
          <w:szCs w:val="32"/>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480" w:leftChars="200" w:right="480" w:rightChars="200" w:firstLine="0" w:firstLineChars="0"/>
        <w:jc w:val="both"/>
        <w:textAlignment w:val="auto"/>
        <w:outlineLvl w:val="9"/>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（2009年8月27日合肥市第十四届人民代表大会常务委员会第十二次会议通过   2009年10月23日安徽省第十一届人民代表大会常务委员会第十四次会议批准  根据2014 年8月21日安徽省第十二届人民代表大会常务委员会第十三次会议通过的关于批准《合肥市人民代表大会常务委员会关于修改〈</w:t>
      </w:r>
      <w:r>
        <w:rPr>
          <w:rStyle w:val="13"/>
          <w:rFonts w:hint="eastAsia" w:ascii="楷体_GB2312" w:hAnsi="楷体_GB2312" w:eastAsia="楷体_GB2312" w:cs="楷体_GB2312"/>
          <w:color w:val="auto"/>
          <w:sz w:val="32"/>
          <w:szCs w:val="32"/>
        </w:rPr>
        <w:t>合肥市市直机关公务员转任办法</w:t>
      </w:r>
      <w:r>
        <w:rPr>
          <w:rFonts w:hint="eastAsia" w:ascii="楷体_GB2312" w:hAnsi="楷体_GB2312" w:eastAsia="楷体_GB2312" w:cs="楷体_GB2312"/>
          <w:color w:val="auto"/>
          <w:sz w:val="32"/>
          <w:szCs w:val="32"/>
        </w:rPr>
        <w:t>〉的决定》的决议修正）</w:t>
      </w:r>
    </w:p>
    <w:p>
      <w:pPr>
        <w:pStyle w:val="7"/>
        <w:keepNext w:val="0"/>
        <w:keepLines w:val="0"/>
        <w:pageBreakBefore w:val="0"/>
        <w:widowControl w:val="0"/>
        <w:wordWrap/>
        <w:topLinePunct w:val="0"/>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pStyle w:val="7"/>
        <w:keepNext w:val="0"/>
        <w:keepLines w:val="0"/>
        <w:pageBreakBefore w:val="0"/>
        <w:widowControl w:val="0"/>
        <w:wordWrap/>
        <w:topLinePunct w:val="0"/>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第一条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为深化干部人事制度改革，规范公务员转任工作，建设高素质公务员队伍，根据《中华人民共和国公务员法》和有关法律法规，结合本市公务员转任工作实际，制定本办法。</w:t>
      </w:r>
    </w:p>
    <w:p>
      <w:pPr>
        <w:pStyle w:val="7"/>
        <w:keepNext w:val="0"/>
        <w:keepLines w:val="0"/>
        <w:pageBreakBefore w:val="0"/>
        <w:widowControl w:val="0"/>
        <w:wordWrap/>
        <w:topLinePunct w:val="0"/>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本市市级直属机关科级及科级以下公务员的转任，适用本办法。</w:t>
      </w:r>
    </w:p>
    <w:p>
      <w:pPr>
        <w:pStyle w:val="7"/>
        <w:keepNext w:val="0"/>
        <w:keepLines w:val="0"/>
        <w:pageBreakBefore w:val="0"/>
        <w:widowControl w:val="0"/>
        <w:wordWrap/>
        <w:topLinePunct w:val="0"/>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第三条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本办法所称公务员转任，是指公务员在同一职务层次、不同职位之间进行的转换岗位任职。</w:t>
      </w:r>
    </w:p>
    <w:p>
      <w:pPr>
        <w:pStyle w:val="7"/>
        <w:keepNext w:val="0"/>
        <w:keepLines w:val="0"/>
        <w:pageBreakBefore w:val="0"/>
        <w:widowControl w:val="0"/>
        <w:wordWrap/>
        <w:topLinePunct w:val="0"/>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公务员转任包括以下三种形式：</w:t>
      </w:r>
    </w:p>
    <w:p>
      <w:pPr>
        <w:pStyle w:val="7"/>
        <w:keepNext w:val="0"/>
        <w:keepLines w:val="0"/>
        <w:pageBreakBefore w:val="0"/>
        <w:widowControl w:val="0"/>
        <w:wordWrap/>
        <w:topLinePunct w:val="0"/>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（一）跨部门转任：指公务员在不同部门之间的转任；</w:t>
      </w:r>
    </w:p>
    <w:p>
      <w:pPr>
        <w:pStyle w:val="7"/>
        <w:keepNext w:val="0"/>
        <w:keepLines w:val="0"/>
        <w:pageBreakBefore w:val="0"/>
        <w:widowControl w:val="0"/>
        <w:wordWrap/>
        <w:topLinePunct w:val="0"/>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（二）部门内转任：指公务员在同一部门内不同机构之间的转任；</w:t>
      </w:r>
    </w:p>
    <w:p>
      <w:pPr>
        <w:pStyle w:val="7"/>
        <w:keepNext w:val="0"/>
        <w:keepLines w:val="0"/>
        <w:pageBreakBefore w:val="0"/>
        <w:widowControl w:val="0"/>
        <w:wordWrap/>
        <w:topLinePunct w:val="0"/>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（三）系统内转任：指市中级人民法院、市人民检察院、市公安局、市司法局所属监狱等系统公务员在本系统内不同单位之间的转任。</w:t>
      </w:r>
    </w:p>
    <w:p>
      <w:pPr>
        <w:pStyle w:val="7"/>
        <w:keepNext w:val="0"/>
        <w:keepLines w:val="0"/>
        <w:pageBreakBefore w:val="0"/>
        <w:widowControl w:val="0"/>
        <w:wordWrap/>
        <w:topLinePunct w:val="0"/>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市中级人民法院、市人民检察院、市公安局、市司法局所属监狱等系统公务员在本系统同一单位内部的转任，视为部门内转任。</w:t>
      </w:r>
    </w:p>
    <w:p>
      <w:pPr>
        <w:pStyle w:val="7"/>
        <w:keepNext w:val="0"/>
        <w:keepLines w:val="0"/>
        <w:pageBreakBefore w:val="0"/>
        <w:widowControl w:val="0"/>
        <w:wordWrap/>
        <w:topLinePunct w:val="0"/>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第四条  </w:t>
      </w:r>
      <w:r>
        <w:rPr>
          <w:rFonts w:hint="eastAsia" w:ascii="仿宋_GB2312" w:hAnsi="仿宋_GB2312" w:eastAsia="仿宋_GB2312" w:cs="仿宋_GB2312"/>
          <w:sz w:val="32"/>
          <w:szCs w:val="32"/>
        </w:rPr>
        <w:t>公务员转任遵循公开、公平、公正，德才素质与职位要求相适应，尊重个人意愿与服从组织安排相结合的原则。</w:t>
      </w:r>
    </w:p>
    <w:p>
      <w:pPr>
        <w:pStyle w:val="7"/>
        <w:keepNext w:val="0"/>
        <w:keepLines w:val="0"/>
        <w:pageBreakBefore w:val="0"/>
        <w:widowControl w:val="0"/>
        <w:wordWrap/>
        <w:topLinePunct w:val="0"/>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第五条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公务员转任应当具备拟任职位所要求的资格条件，在规定的编制限额和职数内进行。</w:t>
      </w:r>
    </w:p>
    <w:p>
      <w:pPr>
        <w:pStyle w:val="7"/>
        <w:keepNext w:val="0"/>
        <w:keepLines w:val="0"/>
        <w:pageBreakBefore w:val="0"/>
        <w:widowControl w:val="0"/>
        <w:wordWrap/>
        <w:topLinePunct w:val="0"/>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国家、省有关部门对专业技术职位有特殊要求的，应当在相近职位间进行转任。</w:t>
      </w:r>
    </w:p>
    <w:p>
      <w:pPr>
        <w:pStyle w:val="7"/>
        <w:keepNext w:val="0"/>
        <w:keepLines w:val="0"/>
        <w:pageBreakBefore w:val="0"/>
        <w:widowControl w:val="0"/>
        <w:wordWrap/>
        <w:topLinePunct w:val="0"/>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市公务员主管部门负责公务员转任的组织实施和指导、监督工作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建立</w:t>
      </w:r>
      <w:r>
        <w:rPr>
          <w:rFonts w:hint="eastAsia" w:ascii="仿宋_GB2312" w:hAnsi="仿宋_GB2312" w:eastAsia="仿宋_GB2312" w:cs="仿宋_GB2312"/>
          <w:sz w:val="32"/>
          <w:szCs w:val="32"/>
        </w:rPr>
        <w:t>、健全</w:t>
      </w:r>
      <w:r>
        <w:rPr>
          <w:rFonts w:hint="eastAsia" w:ascii="仿宋_GB2312" w:hAnsi="仿宋_GB2312" w:eastAsia="仿宋_GB2312" w:cs="仿宋_GB2312"/>
          <w:sz w:val="32"/>
          <w:szCs w:val="32"/>
        </w:rPr>
        <w:t>公务员转任信息管理系统，为公务员转任做好服务与保障工作。</w:t>
      </w:r>
    </w:p>
    <w:p>
      <w:pPr>
        <w:pStyle w:val="7"/>
        <w:keepNext w:val="0"/>
        <w:keepLines w:val="0"/>
        <w:pageBreakBefore w:val="0"/>
        <w:widowControl w:val="0"/>
        <w:wordWrap/>
        <w:topLinePunct w:val="0"/>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市直各部门负责本单位公务员转任管理工作</w:t>
      </w:r>
      <w:r>
        <w:rPr>
          <w:rFonts w:hint="eastAsia" w:ascii="仿宋_GB2312" w:hAnsi="仿宋_GB2312" w:eastAsia="仿宋_GB2312" w:cs="仿宋_GB2312"/>
          <w:sz w:val="32"/>
          <w:szCs w:val="32"/>
        </w:rPr>
        <w:t>，建立、健全公务员转任激励、保障机制</w:t>
      </w:r>
      <w:r>
        <w:rPr>
          <w:rFonts w:hint="eastAsia" w:ascii="仿宋_GB2312" w:hAnsi="仿宋_GB2312" w:eastAsia="仿宋_GB2312" w:cs="仿宋_GB2312"/>
          <w:sz w:val="32"/>
          <w:szCs w:val="32"/>
        </w:rPr>
        <w:t>。</w:t>
      </w:r>
    </w:p>
    <w:p>
      <w:pPr>
        <w:pStyle w:val="7"/>
        <w:keepNext w:val="0"/>
        <w:keepLines w:val="0"/>
        <w:pageBreakBefore w:val="0"/>
        <w:widowControl w:val="0"/>
        <w:wordWrap/>
        <w:topLinePunct w:val="0"/>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第七条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公务员在同一部门、单位或者同一岗位工作时间达到规定年限的，或者按规定需要任职回避的，应当按照本办法转任。</w:t>
      </w:r>
    </w:p>
    <w:p>
      <w:pPr>
        <w:pStyle w:val="7"/>
        <w:keepNext w:val="0"/>
        <w:keepLines w:val="0"/>
        <w:pageBreakBefore w:val="0"/>
        <w:widowControl w:val="0"/>
        <w:wordWrap/>
        <w:topLinePunct w:val="0"/>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担任科级领导职务的公务员有下列情形之一的，应当进行跨部门转任：</w:t>
      </w:r>
    </w:p>
    <w:p>
      <w:pPr>
        <w:pStyle w:val="7"/>
        <w:keepNext w:val="0"/>
        <w:keepLines w:val="0"/>
        <w:pageBreakBefore w:val="0"/>
        <w:widowControl w:val="0"/>
        <w:wordWrap/>
        <w:topLinePunct w:val="0"/>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（一）在同一部门担任同一层级领导职务满</w:t>
      </w:r>
      <w:r>
        <w:rPr>
          <w:rFonts w:hint="eastAsia" w:ascii="仿宋_GB2312" w:hAnsi="仿宋_GB2312" w:eastAsia="仿宋_GB2312" w:cs="仿宋_GB2312"/>
          <w:sz w:val="32"/>
          <w:szCs w:val="32"/>
        </w:rPr>
        <w:t>八</w:t>
      </w:r>
      <w:r>
        <w:rPr>
          <w:rFonts w:hint="eastAsia" w:ascii="仿宋_GB2312" w:hAnsi="仿宋_GB2312" w:eastAsia="仿宋_GB2312" w:cs="仿宋_GB2312"/>
          <w:sz w:val="32"/>
          <w:szCs w:val="32"/>
        </w:rPr>
        <w:t>年的；</w:t>
      </w:r>
    </w:p>
    <w:p>
      <w:pPr>
        <w:pStyle w:val="7"/>
        <w:keepNext w:val="0"/>
        <w:keepLines w:val="0"/>
        <w:pageBreakBefore w:val="0"/>
        <w:widowControl w:val="0"/>
        <w:wordWrap/>
        <w:topLinePunct w:val="0"/>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（二）在同一部门连续担任正副科级领导职务满</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rPr>
        <w:t>年的。</w:t>
      </w:r>
    </w:p>
    <w:p>
      <w:pPr>
        <w:pStyle w:val="7"/>
        <w:keepNext w:val="0"/>
        <w:keepLines w:val="0"/>
        <w:pageBreakBefore w:val="0"/>
        <w:widowControl w:val="0"/>
        <w:wordWrap/>
        <w:topLinePunct w:val="0"/>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科级及科级以下非领导职务公务员在同一部门工作满</w:t>
      </w:r>
      <w:r>
        <w:rPr>
          <w:rFonts w:hint="eastAsia" w:ascii="仿宋_GB2312" w:hAnsi="仿宋_GB2312" w:eastAsia="仿宋_GB2312" w:cs="仿宋_GB2312"/>
          <w:sz w:val="32"/>
          <w:szCs w:val="32"/>
        </w:rPr>
        <w:t>十二</w:t>
      </w:r>
      <w:r>
        <w:rPr>
          <w:rFonts w:hint="eastAsia" w:ascii="仿宋_GB2312" w:hAnsi="仿宋_GB2312" w:eastAsia="仿宋_GB2312" w:cs="仿宋_GB2312"/>
          <w:sz w:val="32"/>
          <w:szCs w:val="32"/>
        </w:rPr>
        <w:t>年的，应当进行跨部门转任。</w:t>
      </w:r>
    </w:p>
    <w:p>
      <w:pPr>
        <w:pStyle w:val="7"/>
        <w:keepNext w:val="0"/>
        <w:keepLines w:val="0"/>
        <w:pageBreakBefore w:val="0"/>
        <w:widowControl w:val="0"/>
        <w:wordWrap/>
        <w:topLinePunct w:val="0"/>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担任科级领导职务的公务员有下列情形之一的，应当进行部门内转任或者系统内转任：</w:t>
      </w:r>
    </w:p>
    <w:p>
      <w:pPr>
        <w:pStyle w:val="7"/>
        <w:keepNext w:val="0"/>
        <w:keepLines w:val="0"/>
        <w:pageBreakBefore w:val="0"/>
        <w:widowControl w:val="0"/>
        <w:wordWrap/>
        <w:topLinePunct w:val="0"/>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（一）在同一内设机构担任同一岗位领导职务满</w:t>
      </w: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rPr>
        <w:t>年的；</w:t>
      </w:r>
    </w:p>
    <w:p>
      <w:pPr>
        <w:pStyle w:val="7"/>
        <w:keepNext w:val="0"/>
        <w:keepLines w:val="0"/>
        <w:pageBreakBefore w:val="0"/>
        <w:widowControl w:val="0"/>
        <w:wordWrap/>
        <w:topLinePunct w:val="0"/>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（二）在同一内设机构连续担任正副科级领导职务满</w:t>
      </w:r>
      <w:r>
        <w:rPr>
          <w:rFonts w:hint="eastAsia" w:ascii="仿宋_GB2312" w:hAnsi="仿宋_GB2312" w:eastAsia="仿宋_GB2312" w:cs="仿宋_GB2312"/>
          <w:sz w:val="32"/>
          <w:szCs w:val="32"/>
        </w:rPr>
        <w:t>七</w:t>
      </w:r>
      <w:r>
        <w:rPr>
          <w:rFonts w:hint="eastAsia" w:ascii="仿宋_GB2312" w:hAnsi="仿宋_GB2312" w:eastAsia="仿宋_GB2312" w:cs="仿宋_GB2312"/>
          <w:sz w:val="32"/>
          <w:szCs w:val="32"/>
        </w:rPr>
        <w:t>年的。</w:t>
      </w:r>
    </w:p>
    <w:p>
      <w:pPr>
        <w:pStyle w:val="7"/>
        <w:keepNext w:val="0"/>
        <w:keepLines w:val="0"/>
        <w:pageBreakBefore w:val="0"/>
        <w:widowControl w:val="0"/>
        <w:wordWrap/>
        <w:topLinePunct w:val="0"/>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科级及科级以下非领导职务公务员在同一部门同一岗位工作满</w:t>
      </w: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rPr>
        <w:t>年的，应当进行部门内转任或者系统内转任。</w:t>
      </w:r>
    </w:p>
    <w:p>
      <w:pPr>
        <w:pStyle w:val="7"/>
        <w:keepNext w:val="0"/>
        <w:keepLines w:val="0"/>
        <w:pageBreakBefore w:val="0"/>
        <w:widowControl w:val="0"/>
        <w:wordWrap/>
        <w:topLinePunct w:val="0"/>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不属于本办法第八条、第九条规定应当转任的公务员，可以自愿申请转任。</w:t>
      </w:r>
    </w:p>
    <w:p>
      <w:pPr>
        <w:pStyle w:val="7"/>
        <w:keepNext w:val="0"/>
        <w:keepLines w:val="0"/>
        <w:pageBreakBefore w:val="0"/>
        <w:widowControl w:val="0"/>
        <w:wordWrap/>
        <w:topLinePunct w:val="0"/>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本办法规定应当转任的公务员有下列情形之一的，可以不转任：</w:t>
      </w:r>
    </w:p>
    <w:p>
      <w:pPr>
        <w:pStyle w:val="7"/>
        <w:keepNext w:val="0"/>
        <w:keepLines w:val="0"/>
        <w:pageBreakBefore w:val="0"/>
        <w:widowControl w:val="0"/>
        <w:wordWrap/>
        <w:topLinePunct w:val="0"/>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（一）离国家规定的退休年龄不满</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rPr>
        <w:t>年的；</w:t>
      </w:r>
    </w:p>
    <w:p>
      <w:pPr>
        <w:pStyle w:val="7"/>
        <w:keepNext w:val="0"/>
        <w:keepLines w:val="0"/>
        <w:pageBreakBefore w:val="0"/>
        <w:widowControl w:val="0"/>
        <w:wordWrap/>
        <w:topLinePunct w:val="0"/>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（二）因健康原因不宜转任的；</w:t>
      </w:r>
    </w:p>
    <w:p>
      <w:pPr>
        <w:pStyle w:val="7"/>
        <w:keepNext w:val="0"/>
        <w:keepLines w:val="0"/>
        <w:pageBreakBefore w:val="0"/>
        <w:widowControl w:val="0"/>
        <w:wordWrap/>
        <w:topLinePunct w:val="0"/>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（三）因生育、挂职锻炼不宜转任的；</w:t>
      </w:r>
    </w:p>
    <w:p>
      <w:pPr>
        <w:pStyle w:val="7"/>
        <w:keepNext w:val="0"/>
        <w:keepLines w:val="0"/>
        <w:pageBreakBefore w:val="0"/>
        <w:widowControl w:val="0"/>
        <w:wordWrap/>
        <w:topLinePunct w:val="0"/>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（四）其他原因不宜转任的。</w:t>
      </w:r>
    </w:p>
    <w:p>
      <w:pPr>
        <w:pStyle w:val="7"/>
        <w:keepNext w:val="0"/>
        <w:keepLines w:val="0"/>
        <w:pageBreakBefore w:val="0"/>
        <w:widowControl w:val="0"/>
        <w:wordWrap/>
        <w:topLinePunct w:val="0"/>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个人有转任意愿且身体健康、离国家规定的退休年龄满八年且不满十年的，可以转任。</w:t>
      </w:r>
    </w:p>
    <w:p>
      <w:pPr>
        <w:pStyle w:val="7"/>
        <w:keepNext w:val="0"/>
        <w:keepLines w:val="0"/>
        <w:pageBreakBefore w:val="0"/>
        <w:widowControl w:val="0"/>
        <w:wordWrap/>
        <w:topLinePunct w:val="0"/>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公务员有下列情形之一的，不得进行跨部门转任：</w:t>
      </w:r>
    </w:p>
    <w:p>
      <w:pPr>
        <w:pStyle w:val="7"/>
        <w:keepNext w:val="0"/>
        <w:keepLines w:val="0"/>
        <w:pageBreakBefore w:val="0"/>
        <w:widowControl w:val="0"/>
        <w:wordWrap/>
        <w:topLinePunct w:val="0"/>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（一）涉嫌违法违纪正在接受审查尚未作出结论的；</w:t>
      </w:r>
    </w:p>
    <w:p>
      <w:pPr>
        <w:pStyle w:val="7"/>
        <w:keepNext w:val="0"/>
        <w:keepLines w:val="0"/>
        <w:pageBreakBefore w:val="0"/>
        <w:widowControl w:val="0"/>
        <w:wordWrap/>
        <w:topLinePunct w:val="0"/>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（二）上一年度考核为不称职的。</w:t>
      </w:r>
    </w:p>
    <w:p>
      <w:pPr>
        <w:pStyle w:val="7"/>
        <w:keepNext w:val="0"/>
        <w:keepLines w:val="0"/>
        <w:pageBreakBefore w:val="0"/>
        <w:widowControl w:val="0"/>
        <w:wordWrap/>
        <w:topLinePunct w:val="0"/>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第十三条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公务员部门内转任工作，由市直各部门自行组织实施，并报市公务员主管部门备案。</w:t>
      </w:r>
    </w:p>
    <w:p>
      <w:pPr>
        <w:pStyle w:val="7"/>
        <w:keepNext w:val="0"/>
        <w:keepLines w:val="0"/>
        <w:pageBreakBefore w:val="0"/>
        <w:widowControl w:val="0"/>
        <w:wordWrap/>
        <w:topLinePunct w:val="0"/>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部门内转任的公务员每年度不得超过本部门科级及科级以下在岗在编公务员人数的</w:t>
      </w:r>
      <w:r>
        <w:rPr>
          <w:rFonts w:hint="eastAsia" w:ascii="仿宋_GB2312" w:hAnsi="仿宋_GB2312" w:eastAsia="仿宋_GB2312" w:cs="仿宋_GB2312"/>
          <w:sz w:val="32"/>
          <w:szCs w:val="32"/>
        </w:rPr>
        <w:t>百分之三十</w:t>
      </w:r>
      <w:r>
        <w:rPr>
          <w:rFonts w:hint="eastAsia" w:ascii="仿宋_GB2312" w:hAnsi="仿宋_GB2312" w:eastAsia="仿宋_GB2312" w:cs="仿宋_GB2312"/>
          <w:sz w:val="32"/>
          <w:szCs w:val="32"/>
        </w:rPr>
        <w:t>。</w:t>
      </w:r>
    </w:p>
    <w:p>
      <w:pPr>
        <w:pStyle w:val="7"/>
        <w:keepNext w:val="0"/>
        <w:keepLines w:val="0"/>
        <w:pageBreakBefore w:val="0"/>
        <w:widowControl w:val="0"/>
        <w:wordWrap/>
        <w:topLinePunct w:val="0"/>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第十四条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公务员跨部门转任、系统内转任工作每三年集中实施一次。</w:t>
      </w:r>
    </w:p>
    <w:p>
      <w:pPr>
        <w:pStyle w:val="7"/>
        <w:keepNext w:val="0"/>
        <w:keepLines w:val="0"/>
        <w:pageBreakBefore w:val="0"/>
        <w:widowControl w:val="0"/>
        <w:wordWrap/>
        <w:topLinePunct w:val="0"/>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市公务员主管部门应当根据符合跨部门转任条件公务员的情况，研究制定公务员跨部门转任集中实施方案，并于上半年组织实施。</w:t>
      </w:r>
    </w:p>
    <w:p>
      <w:pPr>
        <w:pStyle w:val="7"/>
        <w:keepNext w:val="0"/>
        <w:keepLines w:val="0"/>
        <w:pageBreakBefore w:val="0"/>
        <w:widowControl w:val="0"/>
        <w:wordWrap/>
        <w:topLinePunct w:val="0"/>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市中级人民法院、市人民检察院、市公安局、市司法局应当制定本系统集中转任的实施方案，报市公务员主管部门批准后组织实施。</w:t>
      </w:r>
    </w:p>
    <w:p>
      <w:pPr>
        <w:pStyle w:val="7"/>
        <w:keepNext w:val="0"/>
        <w:keepLines w:val="0"/>
        <w:pageBreakBefore w:val="0"/>
        <w:widowControl w:val="0"/>
        <w:wordWrap/>
        <w:topLinePunct w:val="0"/>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第十五条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公务员因任职回避等特殊原因需要及时进行跨部门转任或者系统内转任的，由各部门提出，报市公务员主管部门批准后实施。</w:t>
      </w:r>
    </w:p>
    <w:p>
      <w:pPr>
        <w:pStyle w:val="7"/>
        <w:keepNext w:val="0"/>
        <w:keepLines w:val="0"/>
        <w:pageBreakBefore w:val="0"/>
        <w:widowControl w:val="0"/>
        <w:wordWrap/>
        <w:topLinePunct w:val="0"/>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各部门每三年跨部门转任的公务员，不得超过本部门科级及科级以下在岗在编公务员人数的</w:t>
      </w:r>
      <w:r>
        <w:rPr>
          <w:rFonts w:hint="eastAsia" w:ascii="仿宋_GB2312" w:hAnsi="仿宋_GB2312" w:eastAsia="仿宋_GB2312" w:cs="仿宋_GB2312"/>
          <w:sz w:val="32"/>
          <w:szCs w:val="32"/>
        </w:rPr>
        <w:t>百分之十五</w:t>
      </w:r>
      <w:r>
        <w:rPr>
          <w:rFonts w:hint="eastAsia" w:ascii="仿宋_GB2312" w:hAnsi="仿宋_GB2312" w:eastAsia="仿宋_GB2312" w:cs="仿宋_GB2312"/>
          <w:sz w:val="32"/>
          <w:szCs w:val="32"/>
        </w:rPr>
        <w:t>。</w:t>
      </w:r>
    </w:p>
    <w:p>
      <w:pPr>
        <w:pStyle w:val="7"/>
        <w:keepNext w:val="0"/>
        <w:keepLines w:val="0"/>
        <w:pageBreakBefore w:val="0"/>
        <w:widowControl w:val="0"/>
        <w:wordWrap/>
        <w:topLinePunct w:val="0"/>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符合本办法第八条规定条件的公务员，除因比例限制外，应当在集中转任中实现跨部门转任。</w:t>
      </w:r>
    </w:p>
    <w:p>
      <w:pPr>
        <w:pStyle w:val="7"/>
        <w:keepNext w:val="0"/>
        <w:keepLines w:val="0"/>
        <w:pageBreakBefore w:val="0"/>
        <w:widowControl w:val="0"/>
        <w:wordWrap/>
        <w:topLinePunct w:val="0"/>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市中级人民法院、市人民检察院、市公安局、市司法局所属监狱等系统每三年系统内转任的公务员，不得超过本系统科级及科级以下在岗在编公务员人数的</w:t>
      </w:r>
      <w:r>
        <w:rPr>
          <w:rFonts w:hint="eastAsia" w:ascii="仿宋_GB2312" w:hAnsi="仿宋_GB2312" w:eastAsia="仿宋_GB2312" w:cs="仿宋_GB2312"/>
          <w:sz w:val="32"/>
          <w:szCs w:val="32"/>
        </w:rPr>
        <w:t>百分之二十</w:t>
      </w:r>
      <w:r>
        <w:rPr>
          <w:rFonts w:hint="eastAsia" w:ascii="仿宋_GB2312" w:hAnsi="仿宋_GB2312" w:eastAsia="仿宋_GB2312" w:cs="仿宋_GB2312"/>
          <w:sz w:val="32"/>
          <w:szCs w:val="32"/>
        </w:rPr>
        <w:t>。</w:t>
      </w:r>
    </w:p>
    <w:p>
      <w:pPr>
        <w:pStyle w:val="7"/>
        <w:keepNext w:val="0"/>
        <w:keepLines w:val="0"/>
        <w:pageBreakBefore w:val="0"/>
        <w:widowControl w:val="0"/>
        <w:wordWrap/>
        <w:topLinePunct w:val="0"/>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市中级人民法院、市人民检察院、市公安局、市司法局所属监狱等系统公务员参加跨部门转任的具体比例，由市公务员主管部门会同市中级人民法院、市人民检察院、市公安局、市司法局确定。</w:t>
      </w:r>
    </w:p>
    <w:p>
      <w:pPr>
        <w:pStyle w:val="7"/>
        <w:keepNext w:val="0"/>
        <w:keepLines w:val="0"/>
        <w:pageBreakBefore w:val="0"/>
        <w:widowControl w:val="0"/>
        <w:wordWrap/>
        <w:topLinePunct w:val="0"/>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第十七条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各部门在转任工作中，应当按照规定研究决定转任人选和职位，不得借转任突击提拔或者超职数配备干部，不得借转任对公务员进行排挤或者打击报复。</w:t>
      </w:r>
    </w:p>
    <w:p>
      <w:pPr>
        <w:pStyle w:val="7"/>
        <w:keepNext w:val="0"/>
        <w:keepLines w:val="0"/>
        <w:pageBreakBefore w:val="0"/>
        <w:widowControl w:val="0"/>
        <w:wordWrap/>
        <w:topLinePunct w:val="0"/>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需要按照法定程序选举或者任免的公务员，转任时应当按照法定程序办理。按照规定需要离任审计的，应当进行审计。</w:t>
      </w:r>
    </w:p>
    <w:p>
      <w:pPr>
        <w:pStyle w:val="7"/>
        <w:keepNext w:val="0"/>
        <w:keepLines w:val="0"/>
        <w:pageBreakBefore w:val="0"/>
        <w:widowControl w:val="0"/>
        <w:wordWrap/>
        <w:topLinePunct w:val="0"/>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转任的公务员应当服从转任决定，按时办理工作交接手续并报到。</w:t>
      </w:r>
    </w:p>
    <w:p>
      <w:pPr>
        <w:pStyle w:val="7"/>
        <w:keepNext w:val="0"/>
        <w:keepLines w:val="0"/>
        <w:pageBreakBefore w:val="0"/>
        <w:widowControl w:val="0"/>
        <w:wordWrap/>
        <w:topLinePunct w:val="0"/>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跨部门转任的公务员一年内不再安排转任。确因工作需要进行部门内转任或者系统内转任的，应当报市公务员主管部门批准。</w:t>
      </w:r>
    </w:p>
    <w:p>
      <w:pPr>
        <w:pStyle w:val="7"/>
        <w:keepNext w:val="0"/>
        <w:keepLines w:val="0"/>
        <w:pageBreakBefore w:val="0"/>
        <w:widowControl w:val="0"/>
        <w:wordWrap/>
        <w:topLinePunct w:val="0"/>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违反本办法第十七条规定，不按照规定研究决定转任人选和职位，借转任突击提拔、超职数配备干部，或者借转任对公务员进行排挤或者打击报复的，按照规定追究单位主要负责人的责任。</w:t>
      </w:r>
    </w:p>
    <w:p>
      <w:pPr>
        <w:pStyle w:val="7"/>
        <w:keepNext w:val="0"/>
        <w:keepLines w:val="0"/>
        <w:pageBreakBefore w:val="0"/>
        <w:widowControl w:val="0"/>
        <w:wordWrap/>
        <w:topLinePunct w:val="0"/>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违反本办法第十九条规定，公务员拒不执行转任决定的，给予警告、记过或者记大过处分；情节较重的，给予降级或者撤职处分；情节严重的，给予开除处分。</w:t>
      </w:r>
    </w:p>
    <w:p>
      <w:pPr>
        <w:pStyle w:val="7"/>
        <w:keepNext w:val="0"/>
        <w:keepLines w:val="0"/>
        <w:pageBreakBefore w:val="0"/>
        <w:widowControl w:val="0"/>
        <w:wordWrap/>
        <w:topLinePunct w:val="0"/>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第二十三条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市公务员主管部门应当严格执行转任工作的各项规定，自觉接受监督。</w:t>
      </w:r>
    </w:p>
    <w:p>
      <w:pPr>
        <w:pStyle w:val="7"/>
        <w:keepNext w:val="0"/>
        <w:keepLines w:val="0"/>
        <w:pageBreakBefore w:val="0"/>
        <w:widowControl w:val="0"/>
        <w:wordWrap/>
        <w:topLinePunct w:val="0"/>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市公务员主管部门的工作人员违反本办法规定，在公务员转任过程中滥用职权、玩忽职守、徇私舞弊的，依法予以处分。</w:t>
      </w:r>
    </w:p>
    <w:p>
      <w:pPr>
        <w:pStyle w:val="7"/>
        <w:keepNext w:val="0"/>
        <w:keepLines w:val="0"/>
        <w:pageBreakBefore w:val="0"/>
        <w:widowControl w:val="0"/>
        <w:wordWrap/>
        <w:topLinePunct w:val="0"/>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市公务员主管部门、监察部门负责对公务员转任工作进行监督检查，受理有关举报、申诉，制止、纠正违反本办法的行为，对有关责任人及时予以处理。</w:t>
      </w:r>
    </w:p>
    <w:p>
      <w:pPr>
        <w:pStyle w:val="7"/>
        <w:keepNext w:val="0"/>
        <w:keepLines w:val="0"/>
        <w:pageBreakBefore w:val="0"/>
        <w:widowControl w:val="0"/>
        <w:wordWrap/>
        <w:topLinePunct w:val="0"/>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 xml:space="preserve">第二十五条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本办法自2010年1月1日起施行。</w:t>
      </w:r>
      <w:bookmarkStart w:id="0" w:name="_GoBack"/>
      <w:bookmarkEnd w:id="0"/>
    </w:p>
    <w:sectPr>
      <w:footerReference r:id="rId3" w:type="default"/>
      <w:pgSz w:w="11906" w:h="16838"/>
      <w:pgMar w:top="2007" w:right="1298" w:bottom="986" w:left="1576"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黑体_GBK">
    <w:altName w:val="黑体"/>
    <w:panose1 w:val="02000000000000000000"/>
    <w:charset w:val="86"/>
    <w:family w:val="auto"/>
    <w:pitch w:val="default"/>
    <w:sig w:usb0="00000000" w:usb1="0000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panose1 w:val="03000509000000000000"/>
    <w:charset w:val="86"/>
    <w:family w:val="script"/>
    <w:pitch w:val="default"/>
    <w:sig w:usb0="00000001" w:usb1="080E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Arial Black">
    <w:panose1 w:val="020B0A04020102020204"/>
    <w:charset w:val="00"/>
    <w:family w:val="swiss"/>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ˎ̥,Verdana,Arial">
    <w:altName w:val="Arial Unicode MS"/>
    <w:panose1 w:val="00000000000000000000"/>
    <w:charset w:val="00"/>
    <w:family w:val="roman"/>
    <w:pitch w:val="default"/>
    <w:sig w:usb0="00000000" w:usb1="00000000" w:usb2="00000000" w:usb3="00000000" w:csb0="00040001" w:csb1="00000000"/>
  </w:font>
  <w:font w:name="..">
    <w:altName w:val="Arial Unicode MS"/>
    <w:panose1 w:val="00000000000000000000"/>
    <w:charset w:val="00"/>
    <w:family w:val="roman"/>
    <w:pitch w:val="default"/>
    <w:sig w:usb0="00000000" w:usb1="00000000" w:usb2="00000000"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姚体简体">
    <w:panose1 w:val="03000509000000000000"/>
    <w:charset w:val="86"/>
    <w:family w:val="auto"/>
    <w:pitch w:val="default"/>
    <w:sig w:usb0="00000001" w:usb1="080E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MS Reference Sans Serif">
    <w:panose1 w:val="020B0604030504040204"/>
    <w:charset w:val="00"/>
    <w:family w:val="auto"/>
    <w:pitch w:val="default"/>
    <w:sig w:usb0="00000287" w:usb1="00000000" w:usb2="00000000" w:usb3="00000000" w:csb0="2000019F" w:csb1="00000000"/>
  </w:font>
  <w:font w:name="Cambria Math">
    <w:panose1 w:val="02040503050406030204"/>
    <w:charset w:val="00"/>
    <w:family w:val="auto"/>
    <w:pitch w:val="default"/>
    <w:sig w:usb0="E00002FF" w:usb1="420024FF" w:usb2="00000000"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26D56"/>
    <w:rsid w:val="01092C8A"/>
    <w:rsid w:val="014A7FF9"/>
    <w:rsid w:val="05EE7776"/>
    <w:rsid w:val="079F117E"/>
    <w:rsid w:val="07A83C4C"/>
    <w:rsid w:val="0A1B25B4"/>
    <w:rsid w:val="0DBA3390"/>
    <w:rsid w:val="0DDC0A3D"/>
    <w:rsid w:val="0E3909E7"/>
    <w:rsid w:val="0F826CC7"/>
    <w:rsid w:val="1063786B"/>
    <w:rsid w:val="11487D4E"/>
    <w:rsid w:val="14470207"/>
    <w:rsid w:val="17252A4E"/>
    <w:rsid w:val="19144B94"/>
    <w:rsid w:val="1B66288C"/>
    <w:rsid w:val="1C903441"/>
    <w:rsid w:val="1D9F5BAD"/>
    <w:rsid w:val="1E066984"/>
    <w:rsid w:val="233E2096"/>
    <w:rsid w:val="24306723"/>
    <w:rsid w:val="2C004F7B"/>
    <w:rsid w:val="2D742E6D"/>
    <w:rsid w:val="2E35379F"/>
    <w:rsid w:val="2E4E7D37"/>
    <w:rsid w:val="316C7F93"/>
    <w:rsid w:val="346C49AA"/>
    <w:rsid w:val="35244ADA"/>
    <w:rsid w:val="381E5E75"/>
    <w:rsid w:val="39B11E38"/>
    <w:rsid w:val="3A1E6683"/>
    <w:rsid w:val="3C282948"/>
    <w:rsid w:val="3C3E71B4"/>
    <w:rsid w:val="3F38699A"/>
    <w:rsid w:val="3FF33AAA"/>
    <w:rsid w:val="407A2CDD"/>
    <w:rsid w:val="40CB1336"/>
    <w:rsid w:val="41456DAB"/>
    <w:rsid w:val="422A6439"/>
    <w:rsid w:val="425534DD"/>
    <w:rsid w:val="43066663"/>
    <w:rsid w:val="438A2EFC"/>
    <w:rsid w:val="476225F5"/>
    <w:rsid w:val="49F900AC"/>
    <w:rsid w:val="4B9163E8"/>
    <w:rsid w:val="4BD413CD"/>
    <w:rsid w:val="4C900EAD"/>
    <w:rsid w:val="4F1C1CFA"/>
    <w:rsid w:val="51CF2E7D"/>
    <w:rsid w:val="51EF2D6B"/>
    <w:rsid w:val="538E26F6"/>
    <w:rsid w:val="55F102C8"/>
    <w:rsid w:val="5B883FCC"/>
    <w:rsid w:val="63E17A79"/>
    <w:rsid w:val="67B87810"/>
    <w:rsid w:val="69922251"/>
    <w:rsid w:val="6AD11AD0"/>
    <w:rsid w:val="6AEE49E1"/>
    <w:rsid w:val="7049093B"/>
    <w:rsid w:val="7146380C"/>
    <w:rsid w:val="727A19B3"/>
    <w:rsid w:val="75EC02E0"/>
    <w:rsid w:val="77301489"/>
    <w:rsid w:val="78447AEB"/>
    <w:rsid w:val="79154CC3"/>
    <w:rsid w:val="79A522F3"/>
    <w:rsid w:val="79C2709B"/>
    <w:rsid w:val="7A226D56"/>
    <w:rsid w:val="7D610DFF"/>
    <w:rsid w:val="7EB43494"/>
    <w:rsid w:val="7EEF50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line="0" w:lineRule="atLeast"/>
      <w:jc w:val="center"/>
      <w:outlineLvl w:val="0"/>
    </w:pPr>
    <w:rPr>
      <w:rFonts w:eastAsia="方正小标宋简体"/>
      <w:bCs/>
      <w:kern w:val="44"/>
      <w:sz w:val="44"/>
      <w:szCs w:val="44"/>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Body Text Indent 2"/>
    <w:basedOn w:val="1"/>
    <w:qFormat/>
    <w:uiPriority w:val="0"/>
    <w:pPr>
      <w:ind w:firstLine="608" w:firstLineChars="200"/>
    </w:pPr>
    <w:rPr>
      <w:spacing w:val="-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9">
    <w:name w:val="Strong"/>
    <w:qFormat/>
    <w:uiPriority w:val="0"/>
    <w:rPr>
      <w:rFonts w:hint="default" w:ascii="Times New Roman" w:hAnsi="Times New Roman" w:cs="Times New Roman"/>
      <w:b/>
      <w:lang w:bidi="ar-SA"/>
    </w:rPr>
  </w:style>
  <w:style w:type="character" w:styleId="10">
    <w:name w:val="page number"/>
    <w:basedOn w:val="8"/>
    <w:qFormat/>
    <w:uiPriority w:val="0"/>
  </w:style>
  <w:style w:type="paragraph" w:customStyle="1" w:styleId="12">
    <w:name w:val="正文_0"/>
    <w:qFormat/>
    <w:uiPriority w:val="0"/>
    <w:pPr>
      <w:widowControl w:val="0"/>
      <w:jc w:val="both"/>
    </w:pPr>
    <w:rPr>
      <w:rFonts w:ascii="Calibri" w:hAnsi="Calibri" w:eastAsiaTheme="minorEastAsia" w:cstheme="minorBidi"/>
      <w:kern w:val="2"/>
      <w:sz w:val="21"/>
      <w:szCs w:val="24"/>
      <w:lang w:val="en-US" w:eastAsia="zh-CN" w:bidi="ar-SA"/>
    </w:rPr>
  </w:style>
  <w:style w:type="character" w:customStyle="1" w:styleId="13">
    <w:name w:val="font131"/>
    <w:basedOn w:val="8"/>
    <w:qFormat/>
    <w:uiPriority w:val="0"/>
    <w:rPr>
      <w:color w:val="D70005"/>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2017-10-26T02:52:00Z</dcterms:created>
  <dc:creator>swdx</dc:creator>
  <cp:lastModifiedBy>shy</cp:lastModifiedBy>
  <dcterms:modified xsi:type="dcterms:W3CDTF">2017-10-28T12:59:32Z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