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BA270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景德镇市市容和环境卫生管理条例</w:t>
      </w:r>
    </w:p>
    <w:p w14:paraId="7679EA6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（2017年5月24日景德镇市第十五届人民代表大会常务委员会第五次会议通过　2017年7月26日江西省第十二届人民代表大会常务委员会第三十四次会议批准　2024年5月28日景德镇市第十六届人民代表大会常务委员会第十八次会议修订　2024年7月25日江西省第十四届人民代表大会常务委员会第十次会议批准）</w:t>
      </w:r>
    </w:p>
    <w:p w14:paraId="50B14AB3">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425074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辖区责任制</w:t>
      </w:r>
    </w:p>
    <w:p w14:paraId="6D1024C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市容管理</w:t>
      </w:r>
    </w:p>
    <w:p w14:paraId="363445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建筑物和构筑物容貌管理</w:t>
      </w:r>
    </w:p>
    <w:p w14:paraId="28C5D3C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道路和公共场所容貌管理</w:t>
      </w:r>
    </w:p>
    <w:p w14:paraId="08C62E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第三节　城市绿化管理</w:t>
      </w:r>
    </w:p>
    <w:p w14:paraId="294EA9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第四节　户外广告和标识管理</w:t>
      </w:r>
    </w:p>
    <w:p w14:paraId="60BA1D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第五节　城市照明管理</w:t>
      </w:r>
    </w:p>
    <w:p w14:paraId="7AB64B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环境卫生管理</w:t>
      </w:r>
    </w:p>
    <w:p w14:paraId="4FD861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公共场所环境卫生管理</w:t>
      </w:r>
    </w:p>
    <w:p w14:paraId="70B881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垃圾管理</w:t>
      </w:r>
    </w:p>
    <w:p w14:paraId="1F434E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第三节　环境卫生设施建设和管理</w:t>
      </w:r>
    </w:p>
    <w:p w14:paraId="5E7F9F2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0AB4F8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7DC5978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517B28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为了加强城市市容和环境卫生管理，创造整洁、优美、文明、有序、宜居的生活和工作环境，根据国务院《城市市容和环境卫生管理条例》和有关法律、法规，结合本市实际，制定本条例。</w:t>
      </w:r>
    </w:p>
    <w:p w14:paraId="6EAF02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本条例适用于本市行政区域内城市建成区、工业（产业）园区，以及县级以上人民政府划定并公布实行城市化管理的区域。</w:t>
      </w:r>
    </w:p>
    <w:p w14:paraId="2668C0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市、县（市、区）人民政府应当加强市容和环境卫生管理工作的领导、组织和协调，将市容和环境卫生事业纳入国民经济和社会发展规划，加强市容和环境卫生设施建设，提高公共服务能力。</w:t>
      </w:r>
    </w:p>
    <w:p w14:paraId="286BE31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市、县（市、区）人民政府应当加强市容和环境卫生信息化建设，整合公安、住建、市场监督管理等部门视频资源，提高城市管理和服务的数字化水平。</w:t>
      </w:r>
    </w:p>
    <w:p w14:paraId="089BE3E9">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市、县（市、区）人民政府应当建立市容和环境卫生执法保障机制，合理配置执法人员。</w:t>
      </w:r>
    </w:p>
    <w:p w14:paraId="573E2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市人民政府市容和环境卫生主管部门负责市容和环境卫生管理及执法工作的指导、监督、考核，以及跨区域市容和环境卫生管理和重大复杂违法违规案件的查处。组织编制市容和环境卫生设施专项规划。</w:t>
      </w:r>
    </w:p>
    <w:p w14:paraId="509C1B95">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县（市、区）人民政府市容和环境卫生主管部门负责本辖区内的市容和环境卫生管理和执法工作。</w:t>
      </w:r>
    </w:p>
    <w:p w14:paraId="5A3D098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乡（镇）人民政府、街道办事处负责所辖区域内的市容和环境卫生工作，协调、监督和督促有关单位和个人履行市容和环境卫生义务。</w:t>
      </w:r>
    </w:p>
    <w:p w14:paraId="6DC0364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体育、公安、民政、财政、自然资源和规划、生态环境、住房和城乡建设、水利、农业农村、文化广电新闻出版旅游、卫生健康、林业、市场监督管理、国防动员等有关部门按照各自职责，共同做好市容和环境卫生管理工作。</w:t>
      </w:r>
    </w:p>
    <w:p w14:paraId="35EFF22F">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市容和环境卫生主管部门应当建立科学的市容和环境卫生考核、监督、评价体系，实行奖惩分明的工作机制。</w:t>
      </w:r>
    </w:p>
    <w:p w14:paraId="7724B7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报刊、广播、电视、网络等媒体应当进行市容和环境卫生知识的公益宣传。</w:t>
      </w:r>
    </w:p>
    <w:p w14:paraId="0FF3120F">
      <w:pPr>
        <w:ind w:firstLine="632" w:firstLineChars="200"/>
        <w:rPr>
          <w:rFonts w:ascii="Times New Roman" w:hAnsi="Times New Roman" w:cs="仿宋_GB2312"/>
          <w:sz w:val="32"/>
          <w:szCs w:val="32"/>
        </w:rPr>
      </w:pPr>
      <w:r>
        <w:rPr>
          <w:rFonts w:hint="eastAsia" w:ascii="Times New Roman" w:hAnsi="Times New Roman" w:cs="仿宋_GB2312"/>
          <w:sz w:val="32"/>
          <w:szCs w:val="32"/>
        </w:rPr>
        <w:t>商场、农（集）贸市场、机场、车站、码头、旅游景区、公园等公共场所的经营者或者管理者，应当采取各种形式进行市容和环境卫生的宣传。</w:t>
      </w:r>
    </w:p>
    <w:p w14:paraId="7E09912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鼓励工会、共青团、妇联、志愿者组织、环保组织等做好市容和环境卫生的宣传、培训和动员工作。</w:t>
      </w:r>
    </w:p>
    <w:p w14:paraId="177BA7D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市容和环境卫生主管部门应当依托生活垃圾处理相关设施、场所，建立生活垃圾源头减量和分类宣传教育基地，向社会公众免费开放，通过媒体宣传生活垃圾源头减量和分类的知识及政策措施。</w:t>
      </w:r>
    </w:p>
    <w:p w14:paraId="09A567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单位和个人应当维护城市市容和环境卫生，爱护公共设施，尊重市容和环境卫生工作人员的劳动；对违反本条例的行为有权进行劝阻、批评和举报。市容和环境卫生主管部门可以对反映情况属实的举报人给予奖励。</w:t>
      </w:r>
    </w:p>
    <w:p w14:paraId="7BD4C962">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市容和环境卫生主管部门可以聘请市容和环境卫生义务监督员，协助做好市容和环境卫生的宣传教育和监督工作。</w:t>
      </w:r>
    </w:p>
    <w:p w14:paraId="2F71DA78">
      <w:pPr>
        <w:rPr>
          <w:rFonts w:ascii="Times New Roman" w:hAnsi="Times New Roman" w:eastAsia="宋体" w:cs="宋体"/>
          <w:szCs w:val="32"/>
        </w:rPr>
      </w:pPr>
    </w:p>
    <w:p w14:paraId="27E4B459">
      <w:pPr>
        <w:jc w:val="center"/>
        <w:rPr>
          <w:rFonts w:ascii="Times New Roman" w:hAnsi="Times New Roman" w:eastAsia="黑体" w:cs="黑体"/>
          <w:szCs w:val="32"/>
        </w:rPr>
      </w:pPr>
      <w:r>
        <w:rPr>
          <w:rFonts w:hint="eastAsia" w:ascii="Times New Roman" w:hAnsi="Times New Roman" w:eastAsia="黑体" w:cs="黑体"/>
          <w:szCs w:val="32"/>
        </w:rPr>
        <w:t>第二章　辖区责任制</w:t>
      </w:r>
    </w:p>
    <w:p w14:paraId="764DAA29">
      <w:pPr>
        <w:rPr>
          <w:rFonts w:ascii="Times New Roman" w:hAnsi="Times New Roman" w:eastAsia="宋体" w:cs="宋体"/>
          <w:szCs w:val="32"/>
        </w:rPr>
      </w:pPr>
    </w:p>
    <w:p w14:paraId="2AA5A6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市容和环境卫生管理实行辖区责任制。</w:t>
      </w:r>
    </w:p>
    <w:p w14:paraId="2879AB21">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县（市、区）人民政府市容和环境卫生主管部门应当根据全覆盖的原则，确定市容和环境卫生辖区责任人，并书面告知其辖区范围和责任内容。</w:t>
      </w:r>
    </w:p>
    <w:p w14:paraId="39267EE2">
      <w:pPr>
        <w:ind w:firstLine="632" w:firstLineChars="200"/>
        <w:rPr>
          <w:rFonts w:ascii="Times New Roman" w:hAnsi="Times New Roman" w:cs="仿宋_GB2312"/>
          <w:sz w:val="32"/>
          <w:szCs w:val="32"/>
        </w:rPr>
      </w:pPr>
      <w:r>
        <w:rPr>
          <w:rFonts w:hint="eastAsia" w:ascii="Times New Roman" w:hAnsi="Times New Roman" w:cs="仿宋_GB2312"/>
          <w:sz w:val="32"/>
          <w:szCs w:val="32"/>
        </w:rPr>
        <w:t>辖区责任范围划分不明确或者有争议的，由所在地的县（市、区）人民政府确定；跨行政区域的，由市人民政府市容和环境卫生主管部门确定。</w:t>
      </w:r>
    </w:p>
    <w:p w14:paraId="23167A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辖区责任包括下列内容：</w:t>
      </w:r>
    </w:p>
    <w:p w14:paraId="635998AC">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（一）保持市容整洁，无违反规定实施搭建、停车、设摊、张贴、涂写、刻画、吊挂、堆放等行为；</w:t>
      </w:r>
    </w:p>
    <w:p w14:paraId="0327AD67">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（二）保持环境卫生整洁，无暴露垃圾、粪便、污水和引发病媒生物孳生的其他污染源；</w:t>
      </w:r>
    </w:p>
    <w:p w14:paraId="0009D03A">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（三）保持绿地整洁，无污物杂物；</w:t>
      </w:r>
    </w:p>
    <w:p w14:paraId="336E1416">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（四）保持水域水体清洁，水面无漂浮物聚集；</w:t>
      </w:r>
    </w:p>
    <w:p w14:paraId="3510320C">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（五）按照规定设置环境卫生设施，并保持其整洁、完好；</w:t>
      </w:r>
    </w:p>
    <w:p w14:paraId="04C574C7">
      <w:pPr>
        <w:ind w:firstLine="632" w:firstLineChars="200"/>
        <w:rPr>
          <w:rFonts w:ascii="Times New Roman" w:hAnsi="Times New Roman" w:cs="仿宋_GB2312"/>
          <w:sz w:val="32"/>
          <w:szCs w:val="32"/>
        </w:rPr>
      </w:pPr>
      <w:r>
        <w:rPr>
          <w:rFonts w:hint="eastAsia" w:ascii="Times New Roman" w:hAnsi="Times New Roman" w:cs="仿宋_GB2312"/>
          <w:sz w:val="32"/>
          <w:szCs w:val="32"/>
        </w:rPr>
        <w:t>（六）本条例规定的其他市容和环境卫生责任。</w:t>
      </w:r>
    </w:p>
    <w:p w14:paraId="1021B0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辖区责任人应当与市容和环境卫生主管部门签订市容和环境卫生辖区责任书。市容和环境卫生主管部门书面告知沿街门店、单位门前卫生、设施、秩序三包责任。辖区责任书应当明确本条例第八条规定的责任。</w:t>
      </w:r>
    </w:p>
    <w:p w14:paraId="1339ABF3">
      <w:pPr>
        <w:ind w:firstLine="632" w:firstLineChars="200"/>
        <w:rPr>
          <w:rFonts w:ascii="Times New Roman" w:hAnsi="Times New Roman" w:cs="仿宋_GB2312"/>
          <w:sz w:val="32"/>
          <w:szCs w:val="32"/>
        </w:rPr>
      </w:pPr>
      <w:r>
        <w:rPr>
          <w:rFonts w:hint="eastAsia" w:ascii="Times New Roman" w:hAnsi="Times New Roman" w:cs="仿宋_GB2312"/>
          <w:sz w:val="32"/>
          <w:szCs w:val="32"/>
        </w:rPr>
        <w:t>辖区责任人负责责任区内的市容和环境卫生工作，对责任区内违反市容和环境卫生管理规定的行为，应当制止或者纠正。不能有效制止、纠正或者需要其他有关单位依法处理的，应当通知市容和环境卫生主管部门或者有关单位依法处理。</w:t>
      </w:r>
    </w:p>
    <w:p w14:paraId="1EBB39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市、县（市、区）人民政府市容和环境卫生主管部门应当根据本条例的规定，制定对辖区责任人的监督管理细则，报本级人民政府批准后实施。</w:t>
      </w:r>
    </w:p>
    <w:p w14:paraId="3156D5A1">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市容和环境卫生主管部门及有关单位可以采取信用管理、媒体曝光、挂牌整改、取消评先等方式督促辖区责任人履行责任。</w:t>
      </w:r>
    </w:p>
    <w:p w14:paraId="16F086AE">
      <w:pPr>
        <w:rPr>
          <w:rFonts w:ascii="Times New Roman" w:hAnsi="Times New Roman" w:eastAsia="宋体" w:cs="宋体"/>
          <w:szCs w:val="32"/>
        </w:rPr>
      </w:pPr>
    </w:p>
    <w:p w14:paraId="27078D12">
      <w:pPr>
        <w:jc w:val="center"/>
        <w:rPr>
          <w:rFonts w:ascii="Times New Roman" w:hAnsi="Times New Roman" w:eastAsia="黑体" w:cs="黑体"/>
          <w:szCs w:val="32"/>
        </w:rPr>
      </w:pPr>
      <w:r>
        <w:rPr>
          <w:rFonts w:hint="eastAsia" w:ascii="Times New Roman" w:hAnsi="Times New Roman" w:eastAsia="黑体" w:cs="黑体"/>
          <w:szCs w:val="32"/>
        </w:rPr>
        <w:t>第三章　市容管理</w:t>
      </w:r>
    </w:p>
    <w:p w14:paraId="475BA3DF">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建筑物和构筑物容貌管理</w:t>
      </w:r>
    </w:p>
    <w:p w14:paraId="3B5689EE">
      <w:pPr>
        <w:rPr>
          <w:rFonts w:ascii="Times New Roman" w:hAnsi="Times New Roman" w:eastAsia="宋体" w:cs="宋体"/>
          <w:szCs w:val="32"/>
        </w:rPr>
      </w:pPr>
    </w:p>
    <w:p w14:paraId="2F1109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临街建筑物和构筑物的容貌应当符合下列要求：</w:t>
      </w:r>
    </w:p>
    <w:p w14:paraId="215C7645">
      <w:pPr>
        <w:ind w:firstLine="632" w:firstLineChars="200"/>
        <w:rPr>
          <w:rFonts w:ascii="Times New Roman" w:hAnsi="Times New Roman" w:cs="仿宋_GB2312"/>
          <w:sz w:val="32"/>
          <w:szCs w:val="32"/>
        </w:rPr>
      </w:pPr>
      <w:r>
        <w:rPr>
          <w:rFonts w:hint="eastAsia" w:ascii="Times New Roman" w:hAnsi="Times New Roman" w:cs="仿宋_GB2312"/>
          <w:sz w:val="32"/>
          <w:szCs w:val="32"/>
        </w:rPr>
        <w:t>（一）外立面装饰、修缮符合规划要求，与周边环境相协调，不得影响市容市貌；</w:t>
      </w:r>
    </w:p>
    <w:p w14:paraId="10453A3C">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（二）建筑物顶部、外走廊等保持整洁，禁止堆放物品；</w:t>
      </w:r>
    </w:p>
    <w:p w14:paraId="64B0CC16">
      <w:pPr>
        <w:ind w:firstLine="632" w:firstLineChars="200"/>
        <w:rPr>
          <w:rFonts w:ascii="Times New Roman" w:hAnsi="Times New Roman" w:cs="仿宋_GB2312"/>
          <w:sz w:val="32"/>
          <w:szCs w:val="32"/>
        </w:rPr>
      </w:pPr>
      <w:r>
        <w:rPr>
          <w:rFonts w:hint="eastAsia" w:ascii="Times New Roman" w:hAnsi="Times New Roman" w:cs="仿宋_GB2312"/>
          <w:sz w:val="32"/>
          <w:szCs w:val="32"/>
        </w:rPr>
        <w:t>（三）除按照规范设置的空调机、太阳能设备以及其他依法批准设置的设施外，禁止在建筑物和构筑物顶部、外墙立面上安装、搭建设施，放置、悬挂物品；</w:t>
      </w:r>
    </w:p>
    <w:p w14:paraId="160499CE">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（四）安装防护栏的，不得超出建筑物墙体；</w:t>
      </w:r>
    </w:p>
    <w:p w14:paraId="477C02B4">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（五）主要街道两侧和重点区域的建筑物阳台外和窗外不得吊挂、晾晒物品，平台、阳台内堆放的物品不得超出护栏的高度。</w:t>
      </w:r>
    </w:p>
    <w:p w14:paraId="65558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城市雕塑和各种街景小品应当规范设置，体现城市风貌特色，保持整洁、完好；出现污损、毁坏的，管理维护单位应当及时整修或者拆除。</w:t>
      </w:r>
    </w:p>
    <w:p w14:paraId="7C0EDE94">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市容和环境卫生主管部门发现城市雕塑和各种街景小品需要整修或者拆除的，应当告知管理维护单位；管理维护单位不予整修或者拆除的，应当责令其限期整修或者拆除。</w:t>
      </w:r>
    </w:p>
    <w:p w14:paraId="280B0A34">
      <w:pPr>
        <w:rPr>
          <w:rFonts w:ascii="Times New Roman" w:hAnsi="Times New Roman" w:eastAsia="宋体" w:cs="宋体"/>
          <w:szCs w:val="32"/>
        </w:rPr>
      </w:pPr>
    </w:p>
    <w:p w14:paraId="0B2451C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道路和公共场所容貌管理</w:t>
      </w:r>
    </w:p>
    <w:p w14:paraId="7A60CABF">
      <w:pPr>
        <w:rPr>
          <w:rFonts w:ascii="Times New Roman" w:hAnsi="Times New Roman" w:eastAsia="宋体" w:cs="宋体"/>
          <w:szCs w:val="32"/>
        </w:rPr>
      </w:pPr>
    </w:p>
    <w:p w14:paraId="59D2C3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道路及其附属设施、人防工程设施的容貌应当符合下列要求：</w:t>
      </w:r>
    </w:p>
    <w:p w14:paraId="5177BA23">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（一）保持道路路面、人行道、路缘石和无障碍设施等整洁、完好；</w:t>
      </w:r>
    </w:p>
    <w:p w14:paraId="492C25AF">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（二）保持立交桥、人行天桥、人行地下通道、人防工程设施等整洁、完好；</w:t>
      </w:r>
    </w:p>
    <w:p w14:paraId="3A7CE8C8">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（三）保持道路上设置的交通护栏、隔离墩、窨井盖等附属设施整洁、完好。</w:t>
      </w:r>
    </w:p>
    <w:p w14:paraId="4845D51F">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道路及其附属设施、人防工程设施的管理维护单位应当定期检查，对不符合前款规定的容貌要求的设施，应当及时修复、更换。</w:t>
      </w:r>
    </w:p>
    <w:p w14:paraId="27F550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施工单位经批准进行城市道路改建、扩建以及开挖道路等施工作业，应当遵守下列规定：</w:t>
      </w:r>
    </w:p>
    <w:p w14:paraId="1AC3200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（一）在道路施工之前进行公示、公告；</w:t>
      </w:r>
    </w:p>
    <w:p w14:paraId="3FC6FC38">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（二）设置明显的警示标志；</w:t>
      </w:r>
    </w:p>
    <w:p w14:paraId="32BC7667">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（三）及时清理淤泥、污物，不得向排水明沟、检查井、雨水井内倾倒垃圾，保持周围环境整洁；</w:t>
      </w:r>
    </w:p>
    <w:p w14:paraId="58EFF470">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（四）使用不低于原标准的同类材料，依照原样修复路面，保持与周围容貌相协调；</w:t>
      </w:r>
    </w:p>
    <w:p w14:paraId="2B9D7AC3">
      <w:pPr>
        <w:ind w:firstLine="632" w:firstLineChars="200"/>
        <w:rPr>
          <w:rFonts w:ascii="Times New Roman" w:hAnsi="Times New Roman" w:cs="仿宋_GB2312"/>
          <w:sz w:val="32"/>
          <w:szCs w:val="32"/>
        </w:rPr>
      </w:pPr>
      <w:r>
        <w:rPr>
          <w:rFonts w:hint="eastAsia" w:ascii="Times New Roman" w:hAnsi="Times New Roman" w:cs="仿宋_GB2312"/>
          <w:sz w:val="32"/>
          <w:szCs w:val="32"/>
        </w:rPr>
        <w:t>（五）合理安排施工时间；</w:t>
      </w:r>
    </w:p>
    <w:p w14:paraId="07B9796C">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（六）作业完毕后及时拆除、清理临时设施。</w:t>
      </w:r>
    </w:p>
    <w:p w14:paraId="19095F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非机动车应当按照规定有序停放，不得影响城市容貌。</w:t>
      </w:r>
    </w:p>
    <w:p w14:paraId="3038D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禁止在主要街道两侧和重点区域的公共场所吊挂、晾晒物品。</w:t>
      </w:r>
    </w:p>
    <w:p w14:paraId="1ED56B4E">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县（市、区）人民政府市容和环境卫生主管部门或者乡（镇）人民政府、街道办事处可以设置晾晒点，为居民晾晒提供便利。</w:t>
      </w:r>
    </w:p>
    <w:p w14:paraId="6FB4AB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沿街门店、单位不得超出门、窗进行店外经营、作业或者展示商品，不得在店外摆放、吊挂、晾晒物品，不得在道路路缘石设置接坡。</w:t>
      </w:r>
    </w:p>
    <w:p w14:paraId="701F1FC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任何单位和个人临时占用街道两侧和公共场所，应当经市容和环境卫生主管部门同意后，按照有关规定办理审批手续，并保持周围整洁，及时清除产生的废弃物和临时搭建的设施。</w:t>
      </w:r>
    </w:p>
    <w:p w14:paraId="50ECBF5B">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在城市道路、地下通道、广场以及其他公共场地举办公益、商业等活动的，举办方应当在活动结束后及时清理现场，恢复原状。</w:t>
      </w:r>
    </w:p>
    <w:p w14:paraId="6CF3D8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县（市、区）人民政府应当按照便民、照顾困难群体就业的原则，采取定点设置、限时经营等方式，合理划定农副产品、日用小商品、食品小摊等便民市场或者便民摊点设置区域，报市级人民政府批准后公布。</w:t>
      </w:r>
    </w:p>
    <w:p w14:paraId="553658D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市、县（市、区）人民政府市容和环境卫生主管部门应当会同有关部门根据划定的区域组织实施便民市场或者便民摊点的具体设置和日常管理。</w:t>
      </w:r>
    </w:p>
    <w:p w14:paraId="6C614817">
      <w:pPr>
        <w:ind w:firstLine="632" w:firstLineChars="200"/>
        <w:rPr>
          <w:rFonts w:ascii="Times New Roman" w:hAnsi="Times New Roman" w:cs="仿宋_GB2312"/>
          <w:sz w:val="32"/>
          <w:szCs w:val="32"/>
        </w:rPr>
      </w:pPr>
      <w:r>
        <w:rPr>
          <w:rFonts w:hint="eastAsia" w:ascii="Times New Roman" w:hAnsi="Times New Roman" w:cs="仿宋_GB2312"/>
          <w:sz w:val="32"/>
          <w:szCs w:val="32"/>
        </w:rPr>
        <w:t>摊点经营者应当在定点设置的便民市场或者便民摊点，按照规定的时间开展经营活动。</w:t>
      </w:r>
    </w:p>
    <w:p w14:paraId="4C094E54">
      <w:pPr>
        <w:rPr>
          <w:rFonts w:ascii="Times New Roman" w:hAnsi="Times New Roman" w:eastAsia="宋体" w:cs="宋体"/>
          <w:szCs w:val="32"/>
        </w:rPr>
      </w:pPr>
    </w:p>
    <w:p w14:paraId="0F8F26C4">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城市绿化管理</w:t>
      </w:r>
    </w:p>
    <w:p w14:paraId="701BA0F2">
      <w:pPr>
        <w:rPr>
          <w:rFonts w:ascii="Times New Roman" w:hAnsi="Times New Roman" w:eastAsia="宋体" w:cs="宋体"/>
          <w:szCs w:val="32"/>
        </w:rPr>
      </w:pPr>
    </w:p>
    <w:p w14:paraId="3C046D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城市绿化应当符合下列要求：</w:t>
      </w:r>
    </w:p>
    <w:p w14:paraId="5E54A1EC">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（一）设计、建设、管理、养护符合相关规范；</w:t>
      </w:r>
    </w:p>
    <w:p w14:paraId="5E8FACAA">
      <w:pPr>
        <w:ind w:firstLine="632" w:firstLineChars="200"/>
        <w:rPr>
          <w:rFonts w:ascii="Times New Roman" w:hAnsi="Times New Roman" w:cs="仿宋_GB2312"/>
          <w:sz w:val="32"/>
          <w:szCs w:val="32"/>
        </w:rPr>
      </w:pPr>
      <w:r>
        <w:rPr>
          <w:rFonts w:hint="eastAsia" w:ascii="Times New Roman" w:hAnsi="Times New Roman" w:cs="仿宋_GB2312"/>
          <w:sz w:val="32"/>
          <w:szCs w:val="32"/>
        </w:rPr>
        <w:t>（二）注重景观、生态、游憩、防灾等功能，兼顾城市区域功能和生物多样性；</w:t>
      </w:r>
    </w:p>
    <w:p w14:paraId="0BEABF38">
      <w:pPr>
        <w:ind w:firstLine="632" w:firstLineChars="200"/>
        <w:rPr>
          <w:rFonts w:ascii="Times New Roman" w:hAnsi="Times New Roman" w:cs="仿宋_GB2312"/>
          <w:sz w:val="32"/>
          <w:szCs w:val="32"/>
        </w:rPr>
      </w:pPr>
      <w:r>
        <w:rPr>
          <w:rFonts w:hint="eastAsia" w:ascii="Times New Roman" w:hAnsi="Times New Roman" w:cs="仿宋_GB2312"/>
          <w:sz w:val="32"/>
          <w:szCs w:val="32"/>
        </w:rPr>
        <w:t>（三）绿地、绿化隔离带布局合理，与周边环境相协调；</w:t>
      </w:r>
    </w:p>
    <w:p w14:paraId="4A8C7710">
      <w:pPr>
        <w:ind w:firstLine="632" w:firstLineChars="200"/>
        <w:rPr>
          <w:rFonts w:ascii="Times New Roman" w:hAnsi="Times New Roman" w:cs="仿宋_GB2312"/>
          <w:sz w:val="32"/>
          <w:szCs w:val="32"/>
        </w:rPr>
      </w:pPr>
      <w:r>
        <w:rPr>
          <w:rFonts w:hint="eastAsia" w:ascii="Times New Roman" w:hAnsi="Times New Roman" w:cs="仿宋_GB2312"/>
          <w:sz w:val="32"/>
          <w:szCs w:val="32"/>
        </w:rPr>
        <w:t>（四）道路两侧及隔离带上种植的树木或者其他植物，与交通设施保持必要的距离，不遮挡路灯、交通信号灯、交通标志，不妨碍安全视距，不影响通行。</w:t>
      </w:r>
    </w:p>
    <w:p w14:paraId="54B73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禁止下列破坏城市绿化的行为：</w:t>
      </w:r>
    </w:p>
    <w:p w14:paraId="4C5F14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（一）毁损、擅自占用城市绿地或者改变城市绿化规划用地性质；</w:t>
      </w:r>
    </w:p>
    <w:p w14:paraId="7DA242CC">
      <w:pPr>
        <w:ind w:firstLine="632" w:firstLineChars="200"/>
        <w:rPr>
          <w:rFonts w:ascii="Times New Roman" w:hAnsi="Times New Roman" w:cs="仿宋_GB2312"/>
          <w:sz w:val="32"/>
          <w:szCs w:val="32"/>
        </w:rPr>
      </w:pPr>
      <w:r>
        <w:rPr>
          <w:rFonts w:hint="eastAsia" w:ascii="Times New Roman" w:hAnsi="Times New Roman" w:cs="仿宋_GB2312"/>
          <w:sz w:val="32"/>
          <w:szCs w:val="32"/>
        </w:rPr>
        <w:t>（二）损害、砍伐、擅自移植古树名木、绿化树木；</w:t>
      </w:r>
    </w:p>
    <w:p w14:paraId="769B2A66">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（三）损害、擅自采摘、挖掘花坛、绿篱、草坪等花草植被；</w:t>
      </w:r>
    </w:p>
    <w:p w14:paraId="18166CEE">
      <w:pPr>
        <w:ind w:firstLine="632" w:firstLineChars="200"/>
        <w:rPr>
          <w:rFonts w:ascii="Times New Roman" w:hAnsi="Times New Roman" w:cs="仿宋_GB2312"/>
          <w:sz w:val="32"/>
          <w:szCs w:val="32"/>
        </w:rPr>
      </w:pPr>
      <w:r>
        <w:rPr>
          <w:rFonts w:hint="eastAsia" w:ascii="Times New Roman" w:hAnsi="Times New Roman" w:cs="仿宋_GB2312"/>
          <w:sz w:val="32"/>
          <w:szCs w:val="32"/>
        </w:rPr>
        <w:t>（四）污损花箱、街景小品、雕塑、护栏、喷淋亮化等设施；</w:t>
      </w:r>
    </w:p>
    <w:p w14:paraId="6C0C09A4">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（五）违规在绿地、风景林地内设摊经营、堆放物料、种植蔬菜、晾晒物品，倾倒垃圾、化学物品以及液化气残渣；</w:t>
      </w:r>
    </w:p>
    <w:p w14:paraId="2DC0E85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（六）其他破坏城市绿化的行为。</w:t>
      </w:r>
    </w:p>
    <w:p w14:paraId="1EB8E3F8">
      <w:pPr>
        <w:rPr>
          <w:rFonts w:ascii="Times New Roman" w:hAnsi="Times New Roman" w:eastAsia="宋体" w:cs="宋体"/>
          <w:szCs w:val="32"/>
        </w:rPr>
      </w:pPr>
    </w:p>
    <w:p w14:paraId="26AB3791">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户外广告和标识管理</w:t>
      </w:r>
    </w:p>
    <w:p w14:paraId="58F55C9B">
      <w:pPr>
        <w:rPr>
          <w:rFonts w:ascii="Times New Roman" w:hAnsi="Times New Roman" w:eastAsia="宋体" w:cs="宋体"/>
          <w:szCs w:val="32"/>
        </w:rPr>
      </w:pPr>
    </w:p>
    <w:p w14:paraId="01BC1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户外广告设施和标识应当按照规划要求设置。设置人应当负责日常维护和保养，保持其整洁、完好、牢固，保障其文字、图案、灯光显示完整。大型户外广告的设置应当依法办理审批手续。</w:t>
      </w:r>
    </w:p>
    <w:p w14:paraId="31F886E6">
      <w:pPr>
        <w:ind w:firstLine="632" w:firstLineChars="200"/>
        <w:rPr>
          <w:rFonts w:ascii="Times New Roman" w:hAnsi="Times New Roman" w:cs="仿宋_GB2312"/>
          <w:sz w:val="32"/>
          <w:szCs w:val="32"/>
        </w:rPr>
      </w:pPr>
      <w:r>
        <w:rPr>
          <w:rFonts w:hint="eastAsia" w:ascii="Times New Roman" w:hAnsi="Times New Roman" w:cs="仿宋_GB2312"/>
          <w:sz w:val="32"/>
          <w:szCs w:val="32"/>
        </w:rPr>
        <w:t>路名牌、指路牌、门牌及交通标志牌等标识应当保持统一风格，互相协调。主要街道两侧和重点区域的标识可以同时标注外国文字。</w:t>
      </w:r>
    </w:p>
    <w:p w14:paraId="2FDC6F07">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举办公益、商业等活动设置的临时性广告设施和其他物质载体，应当在活动结束三日内自行清除。</w:t>
      </w:r>
    </w:p>
    <w:p w14:paraId="4F6ACB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任何单位和个人未经批准不得在建筑物、构筑物、树木或者其他设施上张贴、悬挂宣传品或者刻画、涂写。</w:t>
      </w:r>
    </w:p>
    <w:p w14:paraId="685AD435">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县（市、区）人民政府市容和环境卫生主管部门或者乡（镇）人民政府、街道办事处应当设置公共信息栏，满足公众发布信息需要。公共信息栏的管理人应当定期清理、维护。</w:t>
      </w:r>
    </w:p>
    <w:p w14:paraId="4ED551E1">
      <w:pPr>
        <w:rPr>
          <w:rFonts w:ascii="Times New Roman" w:hAnsi="Times New Roman" w:eastAsia="宋体" w:cs="宋体"/>
          <w:szCs w:val="32"/>
        </w:rPr>
      </w:pPr>
    </w:p>
    <w:p w14:paraId="2A1C22D2">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城市照明管理</w:t>
      </w:r>
    </w:p>
    <w:p w14:paraId="5AD4E964">
      <w:pPr>
        <w:rPr>
          <w:rFonts w:ascii="Times New Roman" w:hAnsi="Times New Roman" w:eastAsia="宋体" w:cs="宋体"/>
          <w:szCs w:val="32"/>
        </w:rPr>
      </w:pPr>
    </w:p>
    <w:p w14:paraId="23AB03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城市道路照明的亮灯率、设备完好率应当达到规定的标准。城市照明管理部门应当及时修复出现故障或者残缺的道路照明设施。</w:t>
      </w:r>
    </w:p>
    <w:p w14:paraId="7B22CE5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任何单位和个人都应当保护城市照明设施，不得擅自迁移、拆除、利用城市照明设施。</w:t>
      </w:r>
    </w:p>
    <w:p w14:paraId="56A8CCF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任何单位不得在城市景观照明中有过度照明等超能耗标准的行为。</w:t>
      </w:r>
    </w:p>
    <w:p w14:paraId="10F71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城市景观照明应当按照城市照明管理部门规定的时间开启、关闭。</w:t>
      </w:r>
    </w:p>
    <w:p w14:paraId="52E2F8B8">
      <w:pPr>
        <w:ind w:firstLine="632" w:firstLineChars="200"/>
        <w:rPr>
          <w:rFonts w:ascii="Times New Roman" w:hAnsi="Times New Roman" w:cs="仿宋_GB2312"/>
          <w:sz w:val="32"/>
          <w:szCs w:val="32"/>
        </w:rPr>
      </w:pPr>
      <w:r>
        <w:rPr>
          <w:rFonts w:hint="eastAsia" w:ascii="Times New Roman" w:hAnsi="Times New Roman" w:cs="仿宋_GB2312"/>
          <w:sz w:val="32"/>
          <w:szCs w:val="32"/>
        </w:rPr>
        <w:t>维护和管理责任人应当加强日常维护和安全运行管理，保持景观照明设施的完整、功能良好和容貌整洁，及时修复出现故障或者残缺的景观照明设施。</w:t>
      </w:r>
    </w:p>
    <w:p w14:paraId="615C9420">
      <w:pPr>
        <w:rPr>
          <w:rFonts w:ascii="Times New Roman" w:hAnsi="Times New Roman" w:eastAsia="宋体" w:cs="宋体"/>
          <w:szCs w:val="32"/>
        </w:rPr>
      </w:pPr>
    </w:p>
    <w:p w14:paraId="4547334C">
      <w:pPr>
        <w:jc w:val="center"/>
        <w:rPr>
          <w:rFonts w:ascii="Times New Roman" w:hAnsi="Times New Roman" w:eastAsia="黑体" w:cs="黑体"/>
          <w:szCs w:val="32"/>
        </w:rPr>
      </w:pPr>
      <w:r>
        <w:rPr>
          <w:rFonts w:hint="eastAsia" w:ascii="Times New Roman" w:hAnsi="Times New Roman" w:eastAsia="黑体" w:cs="黑体"/>
          <w:szCs w:val="32"/>
        </w:rPr>
        <w:t>第四章　环境卫生管理</w:t>
      </w:r>
    </w:p>
    <w:p w14:paraId="6934DD54">
      <w:pPr>
        <w:rPr>
          <w:rFonts w:ascii="Times New Roman" w:hAnsi="Times New Roman" w:eastAsia="宋体" w:cs="宋体"/>
          <w:szCs w:val="32"/>
        </w:rPr>
      </w:pPr>
    </w:p>
    <w:p w14:paraId="2A897899">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公共场所环境卫生管理</w:t>
      </w:r>
    </w:p>
    <w:p w14:paraId="6EEFB3D4">
      <w:pPr>
        <w:rPr>
          <w:rFonts w:ascii="Times New Roman" w:hAnsi="Times New Roman" w:eastAsia="宋体" w:cs="宋体"/>
          <w:szCs w:val="32"/>
        </w:rPr>
      </w:pPr>
    </w:p>
    <w:p w14:paraId="385304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禁止下列有碍公共环境卫生的行为：</w:t>
      </w:r>
    </w:p>
    <w:p w14:paraId="0E11D41F">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（一）随地吐痰、便溺；</w:t>
      </w:r>
    </w:p>
    <w:p w14:paraId="32577E99">
      <w:pPr>
        <w:ind w:firstLine="632" w:firstLineChars="200"/>
        <w:rPr>
          <w:rFonts w:ascii="Times New Roman" w:hAnsi="Times New Roman" w:cs="仿宋_GB2312"/>
          <w:sz w:val="32"/>
          <w:szCs w:val="32"/>
        </w:rPr>
      </w:pPr>
      <w:r>
        <w:rPr>
          <w:rFonts w:hint="eastAsia" w:ascii="Times New Roman" w:hAnsi="Times New Roman" w:cs="仿宋_GB2312"/>
          <w:sz w:val="32"/>
          <w:szCs w:val="32"/>
        </w:rPr>
        <w:t>（二）随意丢弃果皮、纸屑、烟蒂、饮料罐、口香糖、塑料袋等废弃物；</w:t>
      </w:r>
    </w:p>
    <w:p w14:paraId="2B2CC7E8">
      <w:pPr>
        <w:ind w:firstLine="632" w:firstLineChars="200"/>
        <w:rPr>
          <w:rFonts w:ascii="Times New Roman" w:hAnsi="Times New Roman" w:cs="仿宋_GB2312"/>
          <w:sz w:val="32"/>
          <w:szCs w:val="32"/>
        </w:rPr>
      </w:pPr>
      <w:r>
        <w:rPr>
          <w:rFonts w:hint="eastAsia" w:ascii="Times New Roman" w:hAnsi="Times New Roman" w:cs="仿宋_GB2312"/>
          <w:sz w:val="32"/>
          <w:szCs w:val="32"/>
        </w:rPr>
        <w:t>（三）随意倾倒生活垃圾、污水、粪便，或者将厨余垃圾等油腻物泼洒、排放在人行道、下水道；</w:t>
      </w:r>
    </w:p>
    <w:p w14:paraId="10921921">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（四）在露天场所和垃圾收集容器内焚烧树叶、木柴、垃圾或者其他废弃物；</w:t>
      </w:r>
    </w:p>
    <w:p w14:paraId="0770C9D2">
      <w:pPr>
        <w:ind w:firstLine="632" w:firstLineChars="200"/>
        <w:rPr>
          <w:rFonts w:ascii="Times New Roman" w:hAnsi="Times New Roman" w:cs="仿宋_GB2312"/>
          <w:sz w:val="32"/>
          <w:szCs w:val="32"/>
        </w:rPr>
      </w:pPr>
      <w:r>
        <w:rPr>
          <w:rFonts w:hint="eastAsia" w:ascii="Times New Roman" w:hAnsi="Times New Roman" w:cs="仿宋_GB2312"/>
          <w:sz w:val="32"/>
          <w:szCs w:val="32"/>
        </w:rPr>
        <w:t>（五）踩踏或者污损候车亭、宣传栏、值勤岗亭、报刊亭、电话亭、休息椅、体育锻炼器材等公共设施；</w:t>
      </w:r>
    </w:p>
    <w:p w14:paraId="1D1B5AF5">
      <w:pPr>
        <w:ind w:firstLine="632" w:firstLineChars="200"/>
        <w:rPr>
          <w:rFonts w:ascii="Times New Roman" w:hAnsi="Times New Roman" w:cs="仿宋_GB2312"/>
          <w:sz w:val="32"/>
          <w:szCs w:val="32"/>
        </w:rPr>
      </w:pPr>
      <w:r>
        <w:rPr>
          <w:rFonts w:hint="eastAsia" w:ascii="Times New Roman" w:hAnsi="Times New Roman" w:cs="仿宋_GB2312"/>
          <w:sz w:val="32"/>
          <w:szCs w:val="32"/>
        </w:rPr>
        <w:t>（六）宠物携带人不清理宠物在公共场所产生的排泄物；</w:t>
      </w:r>
    </w:p>
    <w:p w14:paraId="3BC253C4">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（七）法律、法规规定的其他影响公共环境卫生的行为。</w:t>
      </w:r>
    </w:p>
    <w:p w14:paraId="0D472D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城市建成区内禁止饲养家畜家禽，因教学、科研以及其他特殊需要饲养的除外。</w:t>
      </w:r>
    </w:p>
    <w:p w14:paraId="00D005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民政部门应当加强文明治丧、移风易俗的宣传教育和对丧事活动的引导。</w:t>
      </w:r>
    </w:p>
    <w:p w14:paraId="0F43B550">
      <w:pPr>
        <w:ind w:firstLine="632" w:firstLineChars="200"/>
        <w:rPr>
          <w:rFonts w:ascii="Times New Roman" w:hAnsi="Times New Roman" w:cs="仿宋_GB2312"/>
          <w:sz w:val="32"/>
          <w:szCs w:val="32"/>
        </w:rPr>
      </w:pPr>
      <w:r>
        <w:rPr>
          <w:rFonts w:hint="eastAsia" w:ascii="Times New Roman" w:hAnsi="Times New Roman" w:cs="仿宋_GB2312"/>
          <w:sz w:val="32"/>
          <w:szCs w:val="32"/>
        </w:rPr>
        <w:t>丧事活动不得占用城市道路和公共场所停放遗体、搭设灵棚，不得沿途燃放鞭炮、鸣放礼炮、抛撒纸花纸钱。</w:t>
      </w:r>
    </w:p>
    <w:p w14:paraId="69D3B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市、县（市、区）人民政府可以在主要街道两侧、广场等公共场所划定禁止从事修车、洗车、有油烟餐饮、废品收购、出售沙石等行业的区域，并对外公布。</w:t>
      </w:r>
    </w:p>
    <w:p w14:paraId="6B46B382">
      <w:pPr>
        <w:rPr>
          <w:rFonts w:ascii="Times New Roman" w:hAnsi="Times New Roman" w:eastAsia="宋体" w:cs="宋体"/>
          <w:szCs w:val="32"/>
        </w:rPr>
      </w:pPr>
    </w:p>
    <w:p w14:paraId="1387C25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垃圾管理</w:t>
      </w:r>
    </w:p>
    <w:p w14:paraId="6F30513E">
      <w:pPr>
        <w:rPr>
          <w:rFonts w:ascii="Times New Roman" w:hAnsi="Times New Roman" w:eastAsia="宋体" w:cs="宋体"/>
          <w:szCs w:val="32"/>
        </w:rPr>
      </w:pPr>
    </w:p>
    <w:p w14:paraId="5CD885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本市实行生活垃圾分类制度，生活垃圾按照国家标准分为：可回收物、厨余垃圾、有害垃圾和其他垃圾。</w:t>
      </w:r>
    </w:p>
    <w:p w14:paraId="7FA9B7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单位和个人应当按照规定的地点，将生活垃圾分类投放到指定的垃圾收集容器或者收集场所，不得随意抛弃、倾倒和堆放。</w:t>
      </w:r>
    </w:p>
    <w:p w14:paraId="301093F8">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生活垃圾分类投放应当符合以下规定：</w:t>
      </w:r>
    </w:p>
    <w:p w14:paraId="1015447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（一）可回收物应当投放至可回收物收集容器或者预约再生资源回收经营者回收；</w:t>
      </w:r>
    </w:p>
    <w:p w14:paraId="281D0E4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（二）有害垃圾应当投放至有害垃圾收集容器，易碎或者含有液体的有害垃圾应当在采取防止破损或者渗漏的措施后投放；</w:t>
      </w:r>
    </w:p>
    <w:p w14:paraId="7FF654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（三）厨余垃圾应当投放至厨余垃圾收集容器，不得混入废餐具等不利于后期处理的杂质；</w:t>
      </w:r>
    </w:p>
    <w:p w14:paraId="1541BF5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（四）其他垃圾应当投放至其他垃圾收集容器。</w:t>
      </w:r>
    </w:p>
    <w:p w14:paraId="4844FC6B">
      <w:pPr>
        <w:ind w:firstLine="632" w:firstLineChars="200"/>
        <w:rPr>
          <w:rFonts w:ascii="Times New Roman" w:hAnsi="Times New Roman" w:cs="仿宋_GB2312"/>
          <w:sz w:val="32"/>
          <w:szCs w:val="32"/>
        </w:rPr>
      </w:pPr>
      <w:r>
        <w:rPr>
          <w:rFonts w:hint="eastAsia" w:ascii="Times New Roman" w:hAnsi="Times New Roman" w:cs="仿宋_GB2312"/>
          <w:sz w:val="32"/>
          <w:szCs w:val="32"/>
        </w:rPr>
        <w:t>体积大、整体性强或者需要拆分再处理的家具、家电等大件垃圾，应当预约再生资源回收经营者、生活垃圾分类收集单位回收，或者投放至指定的回收点。</w:t>
      </w:r>
    </w:p>
    <w:p w14:paraId="56A5A5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生活垃圾分类投放工作实行管理责任人制度：</w:t>
      </w:r>
    </w:p>
    <w:p w14:paraId="5C84ED7E">
      <w:pPr>
        <w:ind w:firstLine="632" w:firstLineChars="200"/>
        <w:rPr>
          <w:rFonts w:ascii="Times New Roman" w:hAnsi="Times New Roman" w:cs="仿宋_GB2312"/>
          <w:sz w:val="32"/>
          <w:szCs w:val="32"/>
        </w:rPr>
      </w:pPr>
      <w:r>
        <w:rPr>
          <w:rFonts w:hint="eastAsia" w:ascii="Times New Roman" w:hAnsi="Times New Roman" w:cs="仿宋_GB2312"/>
          <w:sz w:val="32"/>
          <w:szCs w:val="32"/>
        </w:rPr>
        <w:t>（一）机关、企业事业单位、社会团体以及其他组织的办公和生产、经营场所，本单位为管理责任人。</w:t>
      </w:r>
    </w:p>
    <w:p w14:paraId="245521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（二）实行自我管理的住宅小区，成立业主委员会的，业主委员会为管理责任人；未聘请物业服务企业且未成立业主委员会的住宅小区，居民委员会为管理责任人。</w:t>
      </w:r>
    </w:p>
    <w:p w14:paraId="5D6632D0">
      <w:pPr>
        <w:ind w:firstLine="632" w:firstLineChars="200"/>
        <w:rPr>
          <w:rFonts w:ascii="Times New Roman" w:hAnsi="Times New Roman" w:cs="仿宋_GB2312"/>
          <w:sz w:val="32"/>
          <w:szCs w:val="32"/>
        </w:rPr>
      </w:pPr>
      <w:r>
        <w:rPr>
          <w:rFonts w:hint="eastAsia" w:ascii="Times New Roman" w:hAnsi="Times New Roman" w:cs="仿宋_GB2312"/>
          <w:sz w:val="32"/>
          <w:szCs w:val="32"/>
        </w:rPr>
        <w:t>（三）道路、广场、公共绿地等公共场所，环境卫生专业单位为管理责任人。</w:t>
      </w:r>
    </w:p>
    <w:p w14:paraId="5D9A48ED">
      <w:pPr>
        <w:ind w:firstLine="632" w:firstLineChars="200"/>
        <w:rPr>
          <w:rFonts w:ascii="Times New Roman" w:hAnsi="Times New Roman" w:cs="仿宋_GB2312"/>
          <w:sz w:val="32"/>
          <w:szCs w:val="32"/>
        </w:rPr>
      </w:pPr>
      <w:r>
        <w:rPr>
          <w:rFonts w:hint="eastAsia" w:ascii="Times New Roman" w:hAnsi="Times New Roman" w:cs="仿宋_GB2312"/>
          <w:sz w:val="32"/>
          <w:szCs w:val="32"/>
        </w:rPr>
        <w:t>（四）机场、客运站、轨道交通运输、港口、码头以及文化和旅游、体育、娱乐、商业、公园等场所，本单位为管理责任人。</w:t>
      </w:r>
    </w:p>
    <w:p w14:paraId="7C236A30">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（五）建设工程施工现场，施工单位为管理责任人。</w:t>
      </w:r>
    </w:p>
    <w:p w14:paraId="7775929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住宅、办公、生产、经营、公共场所等区域，聘请物业服务企业管理的，物业服务企业为管理责任人；不能确定管理责任人的区域，由所在地乡（镇）人民政府、街道办事处确定，并在责任区域公布；跨行政区域的，由共同的上一级人民政府市容和环境卫生主管部门确定，并在责任区域公布。</w:t>
      </w:r>
    </w:p>
    <w:p w14:paraId="681EB9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生活垃圾分类投放管理责任人履行下列职责：</w:t>
      </w:r>
    </w:p>
    <w:p w14:paraId="6D5B917D">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（一）建立生活垃圾分类日常管理制度，并接受市容和环境卫生主管部门的监督检查；</w:t>
      </w:r>
    </w:p>
    <w:p w14:paraId="4037DCFE">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（二）配置、更换、清洁收集容器，维护生活垃圾分类设施；</w:t>
      </w:r>
    </w:p>
    <w:p w14:paraId="442514F4">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（三）开展生活垃圾分类宣传、指导，在显著位置公布生活垃圾分类指南、投放时段、投放地点和投放方式；</w:t>
      </w:r>
    </w:p>
    <w:p w14:paraId="59CE303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生活垃圾分类投放进行监督，发现生活垃圾投放不符合分类标准的，应当要求投放人按照规定重新分拣后再行投放，拒不改正的，责任人可以拒绝其投放，并报告所在地的县（市、区）城市管理部门处理；</w:t>
      </w:r>
    </w:p>
    <w:p w14:paraId="5DF7F002">
      <w:pPr>
        <w:ind w:firstLine="632" w:firstLineChars="200"/>
        <w:rPr>
          <w:rFonts w:ascii="Times New Roman" w:hAnsi="Times New Roman" w:cs="仿宋_GB2312"/>
          <w:sz w:val="32"/>
          <w:szCs w:val="32"/>
        </w:rPr>
      </w:pPr>
      <w:r>
        <w:rPr>
          <w:rFonts w:hint="eastAsia" w:ascii="Times New Roman" w:hAnsi="Times New Roman" w:cs="仿宋_GB2312"/>
          <w:sz w:val="32"/>
          <w:szCs w:val="32"/>
        </w:rPr>
        <w:t>（五）劝告、制止翻拣或者混合已分类投放的生活垃圾的行为；</w:t>
      </w:r>
    </w:p>
    <w:p w14:paraId="6FD1016E">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（六）将分类投放的生活垃圾分类集中收置，并交由生活垃圾分类收集、运输单位；</w:t>
      </w:r>
    </w:p>
    <w:p w14:paraId="58BE082D">
      <w:pPr>
        <w:ind w:firstLine="632" w:firstLineChars="200"/>
        <w:rPr>
          <w:rFonts w:ascii="Times New Roman" w:hAnsi="Times New Roman" w:cs="仿宋_GB2312"/>
          <w:sz w:val="32"/>
          <w:szCs w:val="32"/>
        </w:rPr>
      </w:pPr>
      <w:r>
        <w:rPr>
          <w:rFonts w:hint="eastAsia" w:ascii="Times New Roman" w:hAnsi="Times New Roman" w:cs="仿宋_GB2312"/>
          <w:sz w:val="32"/>
          <w:szCs w:val="32"/>
        </w:rPr>
        <w:t>（七）督促生活垃圾收集、运输单位分类收集、运输生活垃圾。</w:t>
      </w:r>
    </w:p>
    <w:p w14:paraId="4F315B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市、县（市、区）人民政府市容和环境卫生主管部门负责组织生活垃圾分类收集、运输、处理。</w:t>
      </w:r>
    </w:p>
    <w:p w14:paraId="0DB84890">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推行特许经营、承包经营、租赁经营等方式，通过公开招标引入专业化服务企业，鼓励社会资本参与生活垃圾分类收集、运输、处理工作。</w:t>
      </w:r>
    </w:p>
    <w:p w14:paraId="64BFD0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生活垃圾收集、运输单位发现投放管理责任人交运的生活垃圾不符合分类要求的，应当及时告知该责任人，并要求重新分类；对拒不改正的，可以拒绝接收，并报告县（市、区）人民政府市容和环境卫生主管部门。县（市、区）人民政府市容和环境卫生主管部门应当在接到报告后二十四小时内责令投放管理责任人将生活垃圾分类处理完毕。</w:t>
      </w:r>
    </w:p>
    <w:p w14:paraId="68744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从事生活垃圾分类收集、运输的单位，应当执行行业规范和操作规程，并遵守下列规定：</w:t>
      </w:r>
    </w:p>
    <w:p w14:paraId="5ACFF30D">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（一）配备符合要求的专用运输工具和人员，运输工具按照国家和本省有关规定保持密闭、整洁、完好，有符合国家标准的标志；</w:t>
      </w:r>
    </w:p>
    <w:p w14:paraId="0D7D953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（二）不得将已分类投放的生活垃圾混合收集、运输；</w:t>
      </w:r>
    </w:p>
    <w:p w14:paraId="32C9C79F">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（三）按照规定的时间、路线和要求将分类后的生活垃圾运送至指定的场所，保持生活垃圾收集设施和周边环境干净整洁，运输过程中不得随意倾倒、丢弃、遗撒生活垃圾或者滴漏渗滤液；</w:t>
      </w:r>
    </w:p>
    <w:p w14:paraId="4A0F659F">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（四）向社会公开服务电话，按照约定时间或者采取预约方式收集可回收物和有害垃圾，每天定时收集、运输厨余垃圾和其他垃圾，做到日产日清；</w:t>
      </w:r>
    </w:p>
    <w:p w14:paraId="350A73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（五）建立健全台账管理制度，记录生活垃圾来源、类别、数量和去向等信息；</w:t>
      </w:r>
    </w:p>
    <w:p w14:paraId="4AB4A9D4">
      <w:pPr>
        <w:ind w:firstLine="632" w:firstLineChars="200"/>
        <w:rPr>
          <w:rFonts w:ascii="Times New Roman" w:hAnsi="Times New Roman" w:cs="仿宋_GB2312"/>
          <w:sz w:val="32"/>
          <w:szCs w:val="32"/>
        </w:rPr>
      </w:pPr>
      <w:r>
        <w:rPr>
          <w:rFonts w:hint="eastAsia" w:ascii="Times New Roman" w:hAnsi="Times New Roman" w:cs="仿宋_GB2312"/>
          <w:sz w:val="32"/>
          <w:szCs w:val="32"/>
        </w:rPr>
        <w:t>（六）制定生活垃圾污染突发事件应急预案，应对设施故障、事故等突发事件，并按照国家和本省有关规定及时向所在地人民政府或者有关部门报备；</w:t>
      </w:r>
    </w:p>
    <w:p w14:paraId="668FEC32">
      <w:pPr>
        <w:ind w:firstLine="632" w:firstLineChars="200"/>
        <w:rPr>
          <w:rFonts w:ascii="Times New Roman" w:hAnsi="Times New Roman" w:cs="仿宋_GB2312"/>
          <w:sz w:val="32"/>
          <w:szCs w:val="32"/>
        </w:rPr>
      </w:pPr>
      <w:r>
        <w:rPr>
          <w:rFonts w:hint="eastAsia" w:ascii="Times New Roman" w:hAnsi="Times New Roman" w:cs="仿宋_GB2312"/>
          <w:sz w:val="32"/>
          <w:szCs w:val="32"/>
        </w:rPr>
        <w:t>（七）从事有害垃圾经营活动的，应当具有危险废物经营许可证，法律、行政法规另有规定的除外。</w:t>
      </w:r>
    </w:p>
    <w:p w14:paraId="31195C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生活垃圾处理单位应当履行下列义务：</w:t>
      </w:r>
    </w:p>
    <w:p w14:paraId="608816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（一）按照规定配备生活垃圾管理员、操作员和处理设施，保持生活垃圾处理设施正常运转；</w:t>
      </w:r>
    </w:p>
    <w:p w14:paraId="2BE046A5">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（二）按照规定接收生活垃圾，不得将已分类的生活垃圾混合处理；</w:t>
      </w:r>
    </w:p>
    <w:p w14:paraId="39BDB8D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（三）按照规定安装监控监测设备，并与所在地生态环境主管部门联网，按照有关要求开展自行监测，将污染排放数据实时公开；</w:t>
      </w:r>
    </w:p>
    <w:p w14:paraId="69BB77C8">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（四）建立健全台账管理制度，每日记录生活垃圾处理数量、类别、去向和处理过程中产生的废物，并向市、县（市、区）人民政府市容和环境卫生主管部门报送台账信息；</w:t>
      </w:r>
    </w:p>
    <w:p w14:paraId="2FE2432D">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（五）制定应急预案，并及时向所在地人民政府或者有关部门报备。</w:t>
      </w:r>
    </w:p>
    <w:p w14:paraId="032460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市、县（市、区）人民政府市容和环境卫生主管部门应当建立和完善生活垃圾分类全流程监督管理信息系统和生活垃圾分类收集、运输和处理服务单位的信用档案。</w:t>
      </w:r>
    </w:p>
    <w:p w14:paraId="7ECFA2E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市、县（市、区）人民政府市容和环境卫生主管部门应当会同公安机关和市场监督管理、农业农村、生态环境等部门建立健全厨余垃圾全程监管和执法联动机制。</w:t>
      </w:r>
    </w:p>
    <w:p w14:paraId="28EE8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因装饰装修产生的建筑垃圾以及其他零星少量建筑垃圾，应当袋装收集，按照有关管理部门、物业服务企业或者社区居民委员会指定的地点堆放。</w:t>
      </w:r>
    </w:p>
    <w:p w14:paraId="34E3E6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建筑垃圾由具有专业运输资格的企业运输。建筑垃圾运输应当符合下列要求：</w:t>
      </w:r>
    </w:p>
    <w:p w14:paraId="55F3FD2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（一）运输车辆应当保持外部干净、整洁；</w:t>
      </w:r>
    </w:p>
    <w:p w14:paraId="17C0812B">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（二）按照规定时段、线路运输至指定地点；</w:t>
      </w:r>
    </w:p>
    <w:p w14:paraId="27D9BB94">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（三）安装行驶及装卸记录仪或者定位终端设备并保持正常使用；</w:t>
      </w:r>
    </w:p>
    <w:p w14:paraId="06CA6350">
      <w:pPr>
        <w:ind w:firstLine="632" w:firstLineChars="200"/>
        <w:rPr>
          <w:rFonts w:ascii="Times New Roman" w:hAnsi="Times New Roman" w:cs="仿宋_GB2312"/>
          <w:sz w:val="32"/>
          <w:szCs w:val="32"/>
        </w:rPr>
      </w:pPr>
      <w:r>
        <w:rPr>
          <w:rFonts w:hint="eastAsia" w:ascii="Times New Roman" w:hAnsi="Times New Roman" w:cs="仿宋_GB2312"/>
          <w:sz w:val="32"/>
          <w:szCs w:val="32"/>
        </w:rPr>
        <w:t>（四）随车携带建筑垃圾处置核准文件；</w:t>
      </w:r>
    </w:p>
    <w:p w14:paraId="2C2C4599">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（五）采取密闭或者其他措施防止遗撒、飞扬。</w:t>
      </w:r>
    </w:p>
    <w:p w14:paraId="5855ED2D">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运输其他散装物料按照前款相关规定执行。</w:t>
      </w:r>
    </w:p>
    <w:p w14:paraId="1FA71B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产生生活垃圾的单位、家庭和个人应当依法履行生活垃圾源头减量和分类投放义务，承担生活垃圾产生者责任，生活垃圾产生者应当缴纳生活垃圾处理费。生活垃圾处理费的收费办法由县级以上人民政府按照国家有关规定另行制定。</w:t>
      </w:r>
    </w:p>
    <w:p w14:paraId="17439B96">
      <w:pPr>
        <w:rPr>
          <w:rFonts w:ascii="Times New Roman" w:hAnsi="Times New Roman" w:eastAsia="宋体" w:cs="宋体"/>
          <w:szCs w:val="32"/>
        </w:rPr>
      </w:pPr>
    </w:p>
    <w:p w14:paraId="619B3308">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环境卫生设施建设和管理</w:t>
      </w:r>
    </w:p>
    <w:p w14:paraId="1B3A4E97">
      <w:pPr>
        <w:rPr>
          <w:rFonts w:ascii="Times New Roman" w:hAnsi="Times New Roman" w:eastAsia="宋体" w:cs="宋体"/>
          <w:szCs w:val="32"/>
        </w:rPr>
      </w:pPr>
    </w:p>
    <w:p w14:paraId="2743C7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新区开发、旧城改建、住宅小区建设、景区建设、道路拓建以及建设其他大型公用建筑时，建设单位应当按照设置规划和设置标准配套建设公共厕所、生活垃圾收集点（站）、生活垃圾转运站等环境卫生设施，并与其主体工程同时设计、同时施工、同时验收、同时投入使用。</w:t>
      </w:r>
    </w:p>
    <w:p w14:paraId="397B5778">
      <w:pPr>
        <w:ind w:firstLine="632" w:firstLineChars="200"/>
        <w:rPr>
          <w:rFonts w:ascii="Times New Roman" w:hAnsi="Times New Roman" w:cs="仿宋_GB2312"/>
          <w:sz w:val="32"/>
          <w:szCs w:val="32"/>
        </w:rPr>
      </w:pPr>
      <w:r>
        <w:rPr>
          <w:rFonts w:hint="eastAsia" w:ascii="Times New Roman" w:hAnsi="Times New Roman" w:cs="仿宋_GB2312"/>
          <w:sz w:val="32"/>
          <w:szCs w:val="32"/>
        </w:rPr>
        <w:t>配套建设的环境卫生设施，须经验收合格后方可投入使用，市容和环境卫生主管部门应当参加验收。</w:t>
      </w:r>
    </w:p>
    <w:p w14:paraId="37D564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市、县（市、区）人民政府应当加大公共厕所建设资金投入，合理规划，加强保洁和使用管理。公共厕所应当设置明显、规范的标志，免费对外开放。</w:t>
      </w:r>
    </w:p>
    <w:p w14:paraId="1F971FC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鼓励沿街单位的厕所对社会免费开放。</w:t>
      </w:r>
    </w:p>
    <w:p w14:paraId="2FE9FC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市、县（市、区）人民政府应当规划和建设建筑垃圾消纳场。建筑垃圾消纳场达到使用年限或者因其他原因需要停止使用的，由市容和环境卫生主管部门按照封场技术规范，组织对消纳场地进行覆盖。</w:t>
      </w:r>
    </w:p>
    <w:p w14:paraId="684DCE95">
      <w:pPr>
        <w:ind w:firstLine="632" w:firstLineChars="200"/>
        <w:rPr>
          <w:rFonts w:ascii="Times New Roman" w:hAnsi="Times New Roman" w:cs="仿宋_GB2312"/>
          <w:sz w:val="32"/>
          <w:szCs w:val="32"/>
        </w:rPr>
      </w:pPr>
      <w:r>
        <w:rPr>
          <w:rFonts w:hint="eastAsia" w:ascii="Times New Roman" w:hAnsi="Times New Roman" w:cs="仿宋_GB2312"/>
          <w:sz w:val="32"/>
          <w:szCs w:val="32"/>
        </w:rPr>
        <w:t>陶瓷废瓷不得随意倾倒、填埋。市人民政府应当规划和建设陶瓷废瓷消纳场所，推行陶瓷废瓷综合利用。</w:t>
      </w:r>
    </w:p>
    <w:p w14:paraId="4199B2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任何单位和个人不得侵占、损坏环境卫生设施或者擅自改变其用途；因建设等特殊原因确需拆除、迁移、改建、封闭环境卫生设施的，建设单位应当报有关主管部门批准，并按照规划重新建设，保证环境卫生设施总量不减少。</w:t>
      </w:r>
    </w:p>
    <w:p w14:paraId="63B30803">
      <w:pPr>
        <w:rPr>
          <w:rFonts w:ascii="Times New Roman" w:hAnsi="Times New Roman" w:eastAsia="宋体" w:cs="宋体"/>
          <w:szCs w:val="32"/>
        </w:rPr>
      </w:pPr>
    </w:p>
    <w:p w14:paraId="47981846">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3CB1FA6">
      <w:pPr>
        <w:rPr>
          <w:rFonts w:ascii="Times New Roman" w:hAnsi="Times New Roman" w:eastAsia="宋体" w:cs="宋体"/>
          <w:szCs w:val="32"/>
        </w:rPr>
      </w:pPr>
    </w:p>
    <w:p w14:paraId="326CA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辖区责任人不履行本条例第八条规定的辖区责任的，由城市管理部门责令其限期改正；逾期不改正的，对个人处一百元以上五百元以下罚款，对单位处五百元以上五千元以下罚款。</w:t>
      </w:r>
    </w:p>
    <w:p w14:paraId="2B63E9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违反本条例第十一条规定，临街建筑物和构筑物的容貌不符合要求的，由城市管理部门责令限期改正；逾期不改正的，依法清理或者拆除，并处二百元以上一千元以下罚款。</w:t>
      </w:r>
    </w:p>
    <w:p w14:paraId="2FC9AA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违反本条例道路和公共场所容貌管理规定的，由城市管理部门责令其限期改正，并按照下列规定予以处罚：</w:t>
      </w:r>
    </w:p>
    <w:p w14:paraId="25A1CFD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（一）违反第十三条第二款规定，逾期未修复、更换的，处五百元以上五千元以下罚款。</w:t>
      </w:r>
    </w:p>
    <w:p w14:paraId="2A8035BB">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十四条规定，未及时清理淤泥、污物，未依照原样及相关道路规范修复路面，逾期未改正的，按照污染、损坏面积处每平方米五百元罚款，罚款总额不得超过二万元；作业完毕后未及时拆除、清理临时设施，逾期未改正的，处二万元以下罚款。</w:t>
      </w:r>
    </w:p>
    <w:p w14:paraId="76DCA81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（三）违反第十七条第一款和第二款规定，逾期未改正的，处一百元以上五百元以下罚款。</w:t>
      </w:r>
    </w:p>
    <w:p w14:paraId="138C35C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（四）违反第十七条第三款规定，逾期未改正的，对个人处五十元以上二百元以下罚款，对单位处五百元以上五千元以下罚款。</w:t>
      </w:r>
    </w:p>
    <w:p w14:paraId="4CEE37E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（五）违反第十八条定点设置、限时经营等规定从事摊点经营，逾期未改正的，处一百元以上五百元以下罚款。</w:t>
      </w:r>
    </w:p>
    <w:p w14:paraId="3231FDA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第十四条规定进行道路施工作业，逾期未改正，经催告仍不改正，其后果已经或者将危害交通安全、造成环境污染或者破坏自然资源的，由城市管理部门组织修缮，所需费用由施工单位承担；违反规定摆放、吊挂、晾晒物品拒不改正的，可以暂扣摆放、吊挂、晾晒的物品以及工具；违反规定进行店外经营、作业或者展示商品，在道路路缘石设置接坡，未经审批占用街道两侧和公共场所，逾期未改正的，依法清理或者拆除。</w:t>
      </w:r>
    </w:p>
    <w:p w14:paraId="7BE91A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违反本条例第十五条规定的，由县级以上人民政府指定的部门责令限期改正，拒不改正的，处二十元以上五十元以下罚款。</w:t>
      </w:r>
    </w:p>
    <w:p w14:paraId="6019F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违反本条例第二十条规定，由城市管理部门责令限期改正，并按照下列规定予以处罚：</w:t>
      </w:r>
    </w:p>
    <w:p w14:paraId="275D84E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（一）违反第一项规定，责令限期退还绿化用地，恢复原状，赔偿损失，并可处每平方米五十元至二百元罚款。</w:t>
      </w:r>
    </w:p>
    <w:p w14:paraId="33382F85">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损害、砍伐、擅自移植古树名木的，依照《江西省古树名木保护条例》的有关规定处罚；损害、砍伐、擅自移植绿化树木的，责令停止侵害，赔偿损失，并可处赔偿额二倍以下罚款；应当给予治安管理处罚的，依照《中华人民共和国治安管理处罚法》的有关规定处罚；构成犯罪的，依法追究刑事责任。</w:t>
      </w:r>
    </w:p>
    <w:p w14:paraId="28F8B7BE">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（三）违反第三项至第五项规定，责令限期整改恢复绿地、设施原状，赔偿损失，处二百元以上一千元以下罚款。</w:t>
      </w:r>
    </w:p>
    <w:p w14:paraId="684AC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违反本条例户外广告和标识管理规定的，由城市管理部门责令限期改正，并按照下列规定予以处罚：</w:t>
      </w:r>
    </w:p>
    <w:p w14:paraId="76DAB1C6">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（一）违反第二十一条第一款规定擅自设置大型户外广告，处一千元以上五千元以下罚款；</w:t>
      </w:r>
    </w:p>
    <w:p w14:paraId="2FF69457">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（二）违反第二十一条第一款规定，设置人未尽日常维护和保养义务，逾期未改正的，处二百元以上二千元以下罚款；</w:t>
      </w:r>
    </w:p>
    <w:p w14:paraId="5C055174">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（三）违反第二十一条第三款规定，逾期不清除的，处五百元以上二千元以下罚款；</w:t>
      </w:r>
    </w:p>
    <w:p w14:paraId="7B578A3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（四）违反第二十二条第一款规定，逾期未改正的，处二百元以上一千元以下罚款。标有通信方式的，城市管理部门可以将违法事实告知有关通信运营商或者互联网服务提供商，由其根据服务协议处理。</w:t>
      </w:r>
    </w:p>
    <w:p w14:paraId="7A5B45A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违反规定设置户外广告设施和标识，逾期未改正的，依法拆除；违反规定张贴、悬挂、刻画、涂写，无法确定行为人的，由城市管理部门组织清理。</w:t>
      </w:r>
    </w:p>
    <w:p w14:paraId="7C94D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违反本条例第二十三条规定，由城市管理部门责令限期改正，并按照下列规定予以处罚：</w:t>
      </w:r>
    </w:p>
    <w:p w14:paraId="5B9485E3">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（一）违反第二款规定，擅自迁移、拆除、利用城市照明设施的，对个人处二百元以上一千元以下罚款，对单位处一千元以上三万元以下罚款；造成损失的，行为人应当依法承担赔偿责任；</w:t>
      </w:r>
    </w:p>
    <w:p w14:paraId="1D959554">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（二）违反第三款规定，在城市景观照明中有过度照明等超能耗标准行为的，处一千元以上三万元以下罚款。</w:t>
      </w:r>
    </w:p>
    <w:p w14:paraId="48A89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违反本条例公共场所环境卫生管理规定的，由城市管理部门责令其限期改正，并按照下列规定予以处罚：</w:t>
      </w:r>
    </w:p>
    <w:p w14:paraId="59BC2F0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（一）违反第二十五条第一项至第三项、第五项至第七项规定的，处二十元以上一百元以下罚款；</w:t>
      </w:r>
    </w:p>
    <w:p w14:paraId="229AA54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（二）违反第二十六条规定饲养家畜家禽影响市容和环境卫生的，按照饲养数量处每只（头）五十元罚款；</w:t>
      </w:r>
    </w:p>
    <w:p w14:paraId="67A0AFC1">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（三）违反第二十七条第二款规定，影响城市市容和环境卫生的，处二百元以上一千元以下罚款。</w:t>
      </w:r>
    </w:p>
    <w:p w14:paraId="143363A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违反本条例第二十五条第四项规定的，按照《中华人民共和国大气污染防治法》等规定处罚。</w:t>
      </w:r>
    </w:p>
    <w:p w14:paraId="077639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违反本条例垃圾管理规定的，由城市管理部门责令其限期改正，并按照下列规定予以处罚：</w:t>
      </w:r>
    </w:p>
    <w:p w14:paraId="64FF7EB0">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（一）违反第三十条规定，单位和个人未按照要求将生活垃圾投入对应容器，情节严重的，对个人处一百元以上五百元以下罚款，对单位处五万元以上五十万元以下罚款。</w:t>
      </w:r>
    </w:p>
    <w:p w14:paraId="51DFA89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（二）违反本条例第三十二条规定，生活垃圾分类投放管理责任人未履行责任，逾期不改正的，处五百元以上五千元以下罚款。</w:t>
      </w:r>
    </w:p>
    <w:p w14:paraId="35BDC2A7">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三十五条规定，逾期不改正，运输工具未按照国家、省有关规定保持密闭、整洁、完好的，处二千元以上二万元以下罚款；未按照要求收集、运输生活垃圾做到日产日清，或者将已分类投放的生活垃圾混合收集、运输的，处五千元以上三万元以下罚款，情节严重的，处三万元以上五万元以下罚款；随意倾倒、丢弃、遗撒生活垃圾或者滴漏渗滤液的，处五万元以上五十万元以下罚款；未建立或者伪造管理台账的，处五百元以上五千元以下罚款，情节严重的，处五千元以上二万元以下罚款。</w:t>
      </w:r>
    </w:p>
    <w:p w14:paraId="53B6B47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三十六条第一项、第二项、第四项规定，逾期不改正的，对未按照规定配备生活垃圾管理员、操作员和处理设施，保持生活垃圾处理设施正常运转的生活垃圾处理单位，处三万元以上十万元以下罚款；对未按照规定接收生活垃圾，将已分类的生活垃圾混合处理的生活垃圾处理单位，处三万元以上十万元以下罚款；对未建立台账定期记录生活垃圾处理数量、类别、去向和处理过程中产生的废物，或者未按照国家和本省有关规定向市、县（市、区）人民政府市容和环境卫生主管部门报送台账信息的生活垃圾处理单位，处二千元以上二万元以下罚款，情节严重的，处二万元以上三万元以下罚款。</w:t>
      </w:r>
    </w:p>
    <w:p w14:paraId="01CC2D7C">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（五）违反第三十八条规定的，对个人处二百元以下罚款，对单位处五千元以上五万元以下罚款。</w:t>
      </w:r>
    </w:p>
    <w:p w14:paraId="7F6F7224">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第三十九条规定，未按照规定时段、线路运输至指定地点，对运输单位处二百元以上二千元以下罚款；未安装行驶及装卸记录仪或者定位终端设备，对运输单位处一千元罚款；未采取密闭或者其他措施防止遗撒、飞扬造成污染的，对运输单位处五千元以上五万元以下罚款；逾期未改正，可以扣押车辆至指定场所。造成道路或者环境污染的，行为人应当立即清除污染；行为人未立即清除污染的，由所在地市容和环境卫生主管部门组织清除，清除费用由行为人承担。</w:t>
      </w:r>
    </w:p>
    <w:p w14:paraId="59C3D3C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违反规定运输垃圾，逾期不改正的，运输车辆不得上道路行驶。</w:t>
      </w:r>
    </w:p>
    <w:p w14:paraId="2331AB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违反本条例第四十四条规定的，由城市管理部门责令其恢复原状或者补建；逾期未恢复原状或者未补建的，按照重置价格赔偿损失，并处五千元以上二万元以下罚款；构成犯罪的，依法追究刑事责任。</w:t>
      </w:r>
    </w:p>
    <w:p w14:paraId="46F502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城市管理工作人员在执法过程中应当着装规范、佩带明显标志，主动出示执法证件，遵守执法程序，做到严格、规范、公正、文明执法。</w:t>
      </w:r>
    </w:p>
    <w:p w14:paraId="004EFA0C">
      <w:pPr>
        <w:ind w:firstLine="632" w:firstLineChars="200"/>
        <w:rPr>
          <w:rFonts w:ascii="Times New Roman" w:hAnsi="Times New Roman" w:cs="仿宋_GB2312"/>
          <w:sz w:val="32"/>
          <w:szCs w:val="32"/>
        </w:rPr>
      </w:pPr>
      <w:r>
        <w:rPr>
          <w:rFonts w:hint="eastAsia" w:ascii="Times New Roman" w:hAnsi="Times New Roman" w:cs="仿宋_GB2312"/>
          <w:sz w:val="32"/>
          <w:szCs w:val="32"/>
        </w:rPr>
        <w:t>市容和环境卫生管理工作人员工作作风懈怠、玩忽职守、滥用职权、徇私舞弊的，由其所在单位或者上级主管机关依法依规给予问责处理；构成犯罪的，依法追究刑事责任。</w:t>
      </w:r>
    </w:p>
    <w:p w14:paraId="4EB236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阻碍市容和环境卫生主管部门和其他有关主管部门工作人员依法执行公务，或者侮辱、殴打市容和环境卫生管理工作人员和作业人员的，由公安机关依照《中华人民共和国治安管理处罚法》予以处罚；构成犯罪的，依法追究刑事责任。</w:t>
      </w:r>
    </w:p>
    <w:p w14:paraId="0C3D0190">
      <w:pPr>
        <w:rPr>
          <w:rFonts w:ascii="Times New Roman" w:hAnsi="Times New Roman" w:eastAsia="宋体" w:cs="宋体"/>
          <w:szCs w:val="32"/>
        </w:rPr>
      </w:pPr>
    </w:p>
    <w:p w14:paraId="6431BFC0">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27A6077">
      <w:pPr>
        <w:rPr>
          <w:rFonts w:ascii="Times New Roman" w:hAnsi="Times New Roman" w:eastAsia="宋体" w:cs="宋体"/>
          <w:szCs w:val="32"/>
        </w:rPr>
      </w:pPr>
    </w:p>
    <w:p w14:paraId="7F1168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本条例所称主要街道、重点区域由所在地县级人民政府确定，报市人民政府批准。城市建成区范围由县级以上人民政府依法确定。</w:t>
      </w:r>
    </w:p>
    <w:p w14:paraId="6A6BC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F0B1578"/>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10861</Words>
  <Characters>10881</Characters>
  <Lines>87</Lines>
  <Paragraphs>24</Paragraphs>
  <TotalTime>46</TotalTime>
  <ScaleCrop>false</ScaleCrop>
  <LinksUpToDate>false</LinksUpToDate>
  <CharactersWithSpaces>10980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2024-10-25T09:16:24Z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