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20" w:rsidRDefault="00191820" w:rsidP="009E4CDE">
      <w:pPr>
        <w:adjustRightInd w:val="0"/>
        <w:snapToGrid w:val="0"/>
        <w:spacing w:line="560" w:lineRule="exact"/>
        <w:jc w:val="center"/>
        <w:rPr>
          <w:rFonts w:ascii="宋体" w:hAnsi="宋体" w:cs="宋体"/>
          <w:color w:val="000000" w:themeColor="text1"/>
          <w:sz w:val="44"/>
          <w:szCs w:val="44"/>
        </w:rPr>
      </w:pPr>
      <w:bookmarkStart w:id="0" w:name="_GoBack"/>
    </w:p>
    <w:p w:rsidR="00191820" w:rsidRDefault="00191820" w:rsidP="009E4CDE">
      <w:pPr>
        <w:adjustRightInd w:val="0"/>
        <w:snapToGrid w:val="0"/>
        <w:spacing w:line="560" w:lineRule="exact"/>
        <w:jc w:val="center"/>
        <w:rPr>
          <w:rFonts w:ascii="宋体" w:hAnsi="宋体" w:cs="宋体"/>
          <w:color w:val="000000" w:themeColor="text1"/>
          <w:sz w:val="44"/>
          <w:szCs w:val="44"/>
        </w:rPr>
      </w:pPr>
    </w:p>
    <w:p w:rsidR="00191820" w:rsidRDefault="004421DD" w:rsidP="009E4CDE">
      <w:pPr>
        <w:pStyle w:val="1"/>
        <w:shd w:val="clear" w:color="auto" w:fill="FFFFFF"/>
        <w:spacing w:before="150" w:beforeAutospacing="0" w:after="45" w:afterAutospacing="0" w:line="560" w:lineRule="exact"/>
        <w:jc w:val="center"/>
        <w:rPr>
          <w:b w:val="0"/>
          <w:bCs w:val="0"/>
          <w:color w:val="000000" w:themeColor="text1"/>
          <w:sz w:val="44"/>
          <w:szCs w:val="44"/>
        </w:rPr>
      </w:pPr>
      <w:r>
        <w:rPr>
          <w:rFonts w:hint="eastAsia"/>
          <w:b w:val="0"/>
          <w:bCs w:val="0"/>
          <w:color w:val="000000" w:themeColor="text1"/>
          <w:sz w:val="44"/>
          <w:szCs w:val="44"/>
        </w:rPr>
        <w:t>喀什经济开发区条例</w:t>
      </w:r>
    </w:p>
    <w:p w:rsidR="00191820" w:rsidRDefault="00191820" w:rsidP="009E4CDE">
      <w:pPr>
        <w:adjustRightInd w:val="0"/>
        <w:snapToGrid w:val="0"/>
        <w:spacing w:line="560" w:lineRule="exact"/>
        <w:ind w:rightChars="300" w:right="630"/>
        <w:rPr>
          <w:rFonts w:ascii="宋体" w:hAnsi="宋体" w:cs="宋体"/>
          <w:color w:val="000000" w:themeColor="text1"/>
          <w:sz w:val="44"/>
          <w:szCs w:val="44"/>
        </w:rPr>
      </w:pPr>
    </w:p>
    <w:p w:rsidR="009E4CDE" w:rsidRDefault="004421DD" w:rsidP="009E4CDE">
      <w:pPr>
        <w:adjustRightInd w:val="0"/>
        <w:snapToGrid w:val="0"/>
        <w:spacing w:line="560" w:lineRule="exact"/>
        <w:ind w:leftChars="337" w:left="708" w:rightChars="296" w:right="622"/>
        <w:rPr>
          <w:rFonts w:ascii="楷体_GB2312" w:eastAsia="楷体_GB2312" w:hAnsi="楷体_GB2312" w:cs="楷体_GB2312" w:hint="eastAsia"/>
          <w:color w:val="000000" w:themeColor="text1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（</w:t>
      </w:r>
      <w:r w:rsidR="00F803EB" w:rsidRPr="00611963">
        <w:rPr>
          <w:rFonts w:ascii="楷体_GB2312" w:eastAsia="楷体_GB2312" w:hAnsi="楷体_GB2312" w:cs="楷体_GB2312" w:hint="eastAsia"/>
          <w:color w:val="000000" w:themeColor="text1"/>
          <w:kern w:val="0"/>
          <w:sz w:val="32"/>
          <w:szCs w:val="32"/>
        </w:rPr>
        <w:t>2016年9月29日新疆维吾尔自治区第十二届人民</w:t>
      </w:r>
    </w:p>
    <w:p w:rsidR="00191820" w:rsidRPr="009E4CDE" w:rsidRDefault="00F803EB" w:rsidP="009E4CDE">
      <w:pPr>
        <w:adjustRightInd w:val="0"/>
        <w:snapToGrid w:val="0"/>
        <w:spacing w:line="560" w:lineRule="exact"/>
        <w:ind w:leftChars="337" w:left="708" w:rightChars="296" w:right="622"/>
        <w:rPr>
          <w:rFonts w:ascii="楷体_GB2312" w:eastAsia="楷体_GB2312" w:hAnsi="楷体_GB2312" w:cs="楷体_GB2312"/>
          <w:color w:val="000000" w:themeColor="text1"/>
          <w:kern w:val="0"/>
          <w:sz w:val="32"/>
          <w:szCs w:val="32"/>
        </w:rPr>
      </w:pPr>
      <w:r w:rsidRPr="00611963"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代表大会常务委员会第二十四次会议通过</w:t>
      </w:r>
      <w:r w:rsidR="004421DD">
        <w:rPr>
          <w:rFonts w:ascii="楷体_GB2312" w:eastAsia="楷体_GB2312" w:hAnsi="楷体_GB2312" w:cs="楷体_GB2312" w:hint="eastAsia"/>
          <w:color w:val="000000" w:themeColor="text1"/>
          <w:sz w:val="32"/>
          <w:szCs w:val="32"/>
        </w:rPr>
        <w:t>）</w:t>
      </w:r>
    </w:p>
    <w:p w:rsidR="00191820" w:rsidRDefault="00191820" w:rsidP="009E4CDE">
      <w:pPr>
        <w:adjustRightInd w:val="0"/>
        <w:snapToGrid w:val="0"/>
        <w:spacing w:line="560" w:lineRule="exact"/>
        <w:ind w:leftChars="300" w:left="630" w:rightChars="300" w:right="630"/>
        <w:rPr>
          <w:rFonts w:ascii="楷体" w:eastAsia="黑体" w:hAnsi="楷体" w:cs="楷体"/>
          <w:color w:val="000000" w:themeColor="text1"/>
          <w:sz w:val="32"/>
          <w:szCs w:val="32"/>
        </w:rPr>
      </w:pPr>
    </w:p>
    <w:p w:rsidR="00191820" w:rsidRDefault="004421DD" w:rsidP="009E4CDE">
      <w:pPr>
        <w:adjustRightInd w:val="0"/>
        <w:snapToGrid w:val="0"/>
        <w:spacing w:line="560" w:lineRule="exact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第一章  总</w:t>
      </w:r>
      <w:r w:rsidR="009E4CDE">
        <w:rPr>
          <w:rFonts w:ascii="黑体" w:eastAsia="黑体" w:hAnsi="黑体" w:cs="黑体" w:hint="eastAsia"/>
          <w:color w:val="000000" w:themeColor="text1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则</w:t>
      </w:r>
    </w:p>
    <w:p w:rsidR="00191820" w:rsidRDefault="00191820" w:rsidP="009E4CDE">
      <w:pPr>
        <w:adjustRightInd w:val="0"/>
        <w:snapToGrid w:val="0"/>
        <w:spacing w:line="560" w:lineRule="exact"/>
        <w:ind w:firstLineChars="200" w:firstLine="640"/>
        <w:rPr>
          <w:rFonts w:ascii="仿宋" w:eastAsia="黑体" w:hAnsi="仿宋" w:cs="仿宋"/>
          <w:color w:val="000000" w:themeColor="text1"/>
          <w:sz w:val="32"/>
          <w:szCs w:val="32"/>
        </w:rPr>
      </w:pP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 xml:space="preserve">    第一条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为了落实丝绸之路经济带核心区战略要求，加快喀什经济开发区的建设和发展，推动对外开放新格局,发挥引领、示范和辐射作用，促进南疆经济发展、社会稳定和长治久安，根据国家有关法律、行政法规，结合本地实际，制定本条例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>第二条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在喀什经济开发区(以下简称开发区)开展服务管理、开发建设、产业发展、投资促进及其相关活动，适用本条例。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 xml:space="preserve">第三条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本条例所称开发区是指经国务院批准的国家级经济开发区。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开发区分为喀什主体园区(含生产建设兵团分区)和伊尔克什坦口岸园区，其区域面积50平方公里，包括喀什市40平方公里(含生产建设兵团6平方公里)、伊尔克什坦口岸10平方公里。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黑体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>第四条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开发区的规划、建设、发展和管理，坚持政策引导、市场运作，重点突破、分步实施，内引外联、产业驱动，生态优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先、统筹协调，创新机制、融合发展的原则，按照封闭式管理、开放式运营、自主式开发、一站式服务机制运行。</w:t>
      </w:r>
    </w:p>
    <w:bookmarkEnd w:id="0"/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ind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黑体" w:hAnsi="仿宋_GB2312" w:cs="仿宋_GB2312" w:hint="eastAsia"/>
          <w:color w:val="000000" w:themeColor="text1"/>
          <w:kern w:val="2"/>
          <w:sz w:val="32"/>
          <w:szCs w:val="32"/>
        </w:rPr>
        <w:t>第五条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开发区应当为企业和个人创造良好的投资、研究、开发、经营环境和创业就业条件，依法保护其合法权益。</w:t>
      </w:r>
    </w:p>
    <w:p w:rsidR="00191820" w:rsidRDefault="00191820" w:rsidP="009E4CDE">
      <w:pPr>
        <w:pStyle w:val="a5"/>
        <w:shd w:val="clear" w:color="auto" w:fill="FFFFFF"/>
        <w:spacing w:before="0" w:beforeAutospacing="0" w:after="0" w:afterAutospacing="0" w:line="560" w:lineRule="exact"/>
        <w:ind w:firstLine="640"/>
        <w:rPr>
          <w:rFonts w:ascii="仿宋_GB2312" w:eastAsia="黑体" w:hAnsi="仿宋_GB2312" w:cs="仿宋_GB2312"/>
          <w:color w:val="000000" w:themeColor="text1"/>
          <w:sz w:val="32"/>
          <w:szCs w:val="32"/>
        </w:rPr>
      </w:pPr>
    </w:p>
    <w:p w:rsidR="00191820" w:rsidRDefault="004421DD" w:rsidP="009E4CDE">
      <w:pPr>
        <w:adjustRightInd w:val="0"/>
        <w:snapToGrid w:val="0"/>
        <w:spacing w:line="560" w:lineRule="exact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第二章  管理机构及职责</w:t>
      </w:r>
    </w:p>
    <w:p w:rsidR="00191820" w:rsidRDefault="00191820" w:rsidP="009E4CDE">
      <w:pPr>
        <w:pStyle w:val="a5"/>
        <w:shd w:val="clear" w:color="auto" w:fill="FFFFFF"/>
        <w:spacing w:before="0" w:beforeAutospacing="0" w:after="0" w:afterAutospacing="0" w:line="560" w:lineRule="exact"/>
        <w:ind w:firstLine="642"/>
        <w:rPr>
          <w:rStyle w:val="a6"/>
          <w:rFonts w:ascii="仿宋_GB2312" w:eastAsia="黑体" w:hAnsi="仿宋_GB2312" w:cs="仿宋_GB2312"/>
          <w:color w:val="000000" w:themeColor="text1"/>
          <w:sz w:val="32"/>
          <w:szCs w:val="32"/>
        </w:rPr>
      </w:pP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黑体" w:hAnsi="仿宋_GB2312" w:cs="仿宋_GB2312" w:hint="eastAsia"/>
          <w:color w:val="000000" w:themeColor="text1"/>
          <w:sz w:val="32"/>
          <w:szCs w:val="32"/>
        </w:rPr>
        <w:t xml:space="preserve">　　</w:t>
      </w:r>
      <w:r>
        <w:rPr>
          <w:rFonts w:ascii="仿宋_GB2312" w:eastAsia="黑体" w:hAnsi="仿宋_GB2312" w:cs="仿宋_GB2312" w:hint="eastAsia"/>
          <w:color w:val="000000" w:themeColor="text1"/>
          <w:kern w:val="2"/>
          <w:sz w:val="32"/>
          <w:szCs w:val="32"/>
        </w:rPr>
        <w:t>第六条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自治区人民政府在开发区设立喀什经济开发区管理委员会(以下简称开发区管委会)，作为其派出机构，行使自治区级管理权，负责开发区的统一规划，并对开发区喀什主体园区进行直接管理。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开发区管委会可以向自治区人民政府及其相关部门直接行文，其职能部门负责自治区权限内的审批、核准、备案等事项，需要国家审批的事项由自治区相关部门按程序报批。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克孜勒苏柯尔克孜自治州人民政府根据授权，负责开发区伊尔克什坦口岸园区的建设与管理，享有与开发区管委会同等管理权。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开发区喀什主体园区兵团分区自行建设、自行管理，其管委会享有与开发区管委会同等管理权。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>第七条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开发区伊尔克什坦口岸园区和喀什主体园区兵团分区，业务接受开发区管委会的指导，并按要求向其报送项目申报、基础经济数据统计等公文、表格、资料。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 xml:space="preserve">　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>第八条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开发区管委会履行下列职责：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(一)贯彻落实国家法律、法规和自治区地方性法规;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(二)行使国家、自治区赋予开发区的经济管理和审批权限实行制度创新、政策创新和管理体制创新;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(三)编制和组织实施开发区总体发展规划和各专项发展规划，并依法进行环境影响评价;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(四)负责招商引资工作，按规定权限审批、审定、申报各类投资项目;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(五)负责开发区规划建设，基础设施和公共设施建设管理工作;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(六)负责开发区财政预决算、国有资产管理、投融资工作;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(七)负责开发区的项目申报、基础经济数据统计;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(八)根据规定权限负责开发区各类进出口行政事务;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(九)承担与派驻地政府、部门及相关单位的沟通联系和协调职责，履行开发区相应社会管理和社会服务职能;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(十)负责定期组织召开开发区园区工作协调会，共同研究开发建设、产业发展、招商引资等涉及开发区整体发展事宜;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(十一)行使自治区人民政府委托的其他职权。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>第九条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开发区管委会指导、协调有关部门在开发区的派出机构、分支机构的工作，并按照精简高效、机制灵活的原则，设立必要的职能机构，根据需要可以自主</w:t>
      </w:r>
      <w:hyperlink r:id="rId7" w:tgtFrame="_blank" w:history="1">
        <w:r>
          <w:rPr>
            <w:rStyle w:val="a7"/>
            <w:rFonts w:ascii="仿宋_GB2312" w:eastAsia="仿宋_GB2312" w:hAnsi="仿宋_GB2312" w:cs="仿宋_GB2312" w:hint="eastAsia"/>
            <w:color w:val="000000" w:themeColor="text1"/>
            <w:sz w:val="32"/>
            <w:szCs w:val="32"/>
          </w:rPr>
          <w:t>决定</w:t>
        </w:r>
      </w:hyperlink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人员聘用和薪酬标准。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 xml:space="preserve">　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>第十条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自治区发展和改革、经济和信息化、商务、国土资源、环境保护、工商行政、质监、地税、国税、海关、检验检疫、边防、金融监管、公安、道路运输、路政海事、消防等主管部门可以在开发区设立机构或派驻监管人员，办理业务，实施监督管理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>第十一条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开发区财政部门在业务上接受自治区财政主管部门的指导，其税收分成以及企业和个人税收减、免、退的认定按照国家和自治区的有关规定执行。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>第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>十二条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开发区管委会规划土地建设环保主管部门根据委托，对开发区范围内违反土地、规划、房产、建设、环保等法律法规的行为，依法予以处罚。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黑体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>第十三条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设立喀什综合保税区，综合保税区管理委员会由开发区管委会管理，其业务接受海关的监督和指导，所属功能和有关税收、外汇政策按照国家有关规定执行。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ind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>第十四条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开发区可以开展创新机制的先行先试，探索建立试错免责机制。</w:t>
      </w:r>
    </w:p>
    <w:p w:rsidR="00191820" w:rsidRDefault="00191820" w:rsidP="009E4CDE">
      <w:pPr>
        <w:pStyle w:val="a5"/>
        <w:shd w:val="clear" w:color="auto" w:fill="FFFFFF"/>
        <w:spacing w:before="0" w:beforeAutospacing="0" w:after="0" w:afterAutospacing="0" w:line="560" w:lineRule="exact"/>
        <w:ind w:firstLine="640"/>
        <w:rPr>
          <w:rFonts w:ascii="仿宋_GB2312" w:eastAsia="黑体" w:hAnsi="仿宋_GB2312" w:cs="仿宋_GB2312"/>
          <w:color w:val="000000" w:themeColor="text1"/>
          <w:sz w:val="32"/>
          <w:szCs w:val="32"/>
        </w:rPr>
      </w:pPr>
    </w:p>
    <w:p w:rsidR="00191820" w:rsidRDefault="004421DD" w:rsidP="009E4CDE">
      <w:pPr>
        <w:adjustRightInd w:val="0"/>
        <w:snapToGrid w:val="0"/>
        <w:spacing w:line="560" w:lineRule="exact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第三章  开发建设</w:t>
      </w:r>
    </w:p>
    <w:p w:rsidR="00191820" w:rsidRDefault="00191820" w:rsidP="009E4CDE">
      <w:pPr>
        <w:pStyle w:val="a5"/>
        <w:shd w:val="clear" w:color="auto" w:fill="FFFFFF"/>
        <w:spacing w:before="0" w:beforeAutospacing="0" w:after="0" w:afterAutospacing="0" w:line="560" w:lineRule="exact"/>
        <w:ind w:firstLine="642"/>
        <w:rPr>
          <w:rStyle w:val="a6"/>
          <w:rFonts w:ascii="仿宋_GB2312" w:eastAsia="黑体" w:hAnsi="仿宋_GB2312" w:cs="仿宋_GB2312"/>
          <w:color w:val="000000" w:themeColor="text1"/>
          <w:sz w:val="32"/>
          <w:szCs w:val="32"/>
        </w:rPr>
      </w:pP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黑体" w:hAnsi="仿宋_GB2312" w:cs="仿宋_GB2312" w:hint="eastAsia"/>
          <w:color w:val="000000" w:themeColor="text1"/>
          <w:sz w:val="32"/>
          <w:szCs w:val="32"/>
        </w:rPr>
        <w:t xml:space="preserve">　　</w:t>
      </w:r>
      <w:r>
        <w:rPr>
          <w:rFonts w:ascii="仿宋_GB2312" w:eastAsia="黑体" w:hAnsi="仿宋_GB2312" w:cs="仿宋_GB2312" w:hint="eastAsia"/>
          <w:color w:val="000000" w:themeColor="text1"/>
          <w:kern w:val="2"/>
          <w:sz w:val="32"/>
          <w:szCs w:val="32"/>
        </w:rPr>
        <w:t>第十五条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开发区管委会按照国家、自治区批准的规划和目标，组织实施开发建设工作。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 xml:space="preserve">　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>第十六条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开发区管委会应借助和发挥对口支援机制作用，吸引社会各方力量参与开发建设。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>第十七条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开发区管委会应当发挥园区的优势和作用，根据园区建设需求，促进产业融合、区域融合，推进地下综合管廊建设，优先推广装配式建筑建设，支持建设数字化智能园区。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>第十八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条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开发区设立开发建设投资经营公司以及其它投资开发主体，参与开发区开发建设和投资经营。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>第十九条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开发区建设用地按照土地利用总体规划和年度用地计划执行。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开发区内的农用地转用、土地征收、国有土地使用权出让、不动产登记，依照法律、法规规定的权限办理。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>第二十条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开发区区域内使用荒地、荒滩开发建设、引进产业项目的，按《喀什经济开发区总体发展规划》规定的期限，免交土地出让金和新增建设用地土地有偿使用费。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>第二十一条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开发区可以在法律法规允许的范围内，创新土地利用管理方式。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(一)建立土地节约、集约利用的动态评估、监测机制;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(二)商业用地弹性出让、新产业项目用地符合划拨用地目录要求的，可以划拨供应;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(三)鼓励以租赁等多种方式向中小企业供应土地;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(四)推行土地先租后让、租让结合的供应方式;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 xml:space="preserve">　　(五)开发区内的商业、工业及重大功能性项目等用地，可实行带方案出让;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(六)建立企业土地使用退出机制。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对符合国家鼓励发展的新产业新业态政策要求的，优先安排新产业发展用地。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>第二十二条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开发区应当建立严格的生态环境保护制度，严禁引进不符合国家和自治区生态环境保护规定的项目、设备、材料和产品。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进入开发区内的企业和项目，应当符合开发区规划环境影响评价要求，并依法进行建设项目环境影响评价。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ind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开发区应当遵从循环经济减量化、再利用、再循环原则，减少废物排放，通过废物交接、循环利用、清洁生产等手段，实现污染物减排，达到生态标准。</w:t>
      </w:r>
    </w:p>
    <w:p w:rsidR="00191820" w:rsidRDefault="00191820" w:rsidP="009E4CDE">
      <w:pPr>
        <w:pStyle w:val="a5"/>
        <w:shd w:val="clear" w:color="auto" w:fill="FFFFFF"/>
        <w:spacing w:before="0" w:beforeAutospacing="0" w:after="0" w:afterAutospacing="0" w:line="560" w:lineRule="exact"/>
        <w:ind w:firstLine="640"/>
        <w:rPr>
          <w:rFonts w:ascii="仿宋_GB2312" w:eastAsia="黑体" w:hAnsi="仿宋_GB2312" w:cs="仿宋_GB2312"/>
          <w:color w:val="000000" w:themeColor="text1"/>
          <w:sz w:val="32"/>
          <w:szCs w:val="32"/>
        </w:rPr>
      </w:pPr>
    </w:p>
    <w:p w:rsidR="00191820" w:rsidRDefault="004421DD" w:rsidP="009E4CDE">
      <w:pPr>
        <w:adjustRightInd w:val="0"/>
        <w:snapToGrid w:val="0"/>
        <w:spacing w:line="560" w:lineRule="exact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第四章  产业发展</w:t>
      </w:r>
    </w:p>
    <w:p w:rsidR="00191820" w:rsidRDefault="00191820" w:rsidP="009E4CDE">
      <w:pPr>
        <w:pStyle w:val="a5"/>
        <w:shd w:val="clear" w:color="auto" w:fill="FFFFFF"/>
        <w:spacing w:before="0" w:beforeAutospacing="0" w:after="0" w:afterAutospacing="0" w:line="560" w:lineRule="exact"/>
        <w:ind w:firstLine="642"/>
        <w:rPr>
          <w:rStyle w:val="a6"/>
          <w:rFonts w:ascii="仿宋_GB2312" w:eastAsia="黑体" w:hAnsi="仿宋_GB2312" w:cs="仿宋_GB2312"/>
          <w:color w:val="000000" w:themeColor="text1"/>
          <w:sz w:val="32"/>
          <w:szCs w:val="32"/>
        </w:rPr>
      </w:pP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黑体" w:hAnsi="仿宋_GB2312" w:cs="仿宋_GB2312" w:hint="eastAsia"/>
          <w:color w:val="000000" w:themeColor="text1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 xml:space="preserve">第二十三条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开发区产业发展应当坚持创新引领、二三产联动、开放合作、绿色发展的原则，重点发展现代服务业和先进制造业。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 xml:space="preserve">第二十四条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开发区根据实际发展需要，试行有利于促进对外开放和产业结构优化升级的创新业务。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 xml:space="preserve">　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 xml:space="preserve">第二十五条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鼓励发展商贸物流、金融服务、会议展览等现代服务业和互联网金融、电子商务等新兴业态。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>第二十六条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开发区可以依托喀什临空经济区，发挥港区一体化作用，发展航空物流、临空高科技等临空产业，将区位优势转化为经济优势。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>第二十七条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开发区应当建立完善投资主体多元化、融资渠道多样化、资本管理市场化、国际化的投融资机制。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开发区金融贸易区可以在离岸金融、金融市场利率市场化、人民币跨境使用、企业跨境融资自由化等方面先行先试，推进金融创新试点。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>第二十八条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开发区创建国家级高新技术产业园区和中亚科技合作平台，推进高新技术成果转化和产业发展。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 xml:space="preserve">第二十九条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开发区管委会，经自治区人民政府特殊授权，创新机制采取一事一议的方式，促进开发区与国内外园区联动发展。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ind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本条前款所称一事一议，是指除本条例第八条由自治区人民政府明确授权的事项外，其他未经授权但属于开发区建设和产业发展的重大事项，开发区管委会可以与有关方面共同研究解决。</w:t>
      </w:r>
    </w:p>
    <w:p w:rsidR="00191820" w:rsidRDefault="00191820" w:rsidP="009E4CDE">
      <w:pPr>
        <w:pStyle w:val="a5"/>
        <w:shd w:val="clear" w:color="auto" w:fill="FFFFFF"/>
        <w:spacing w:before="0" w:beforeAutospacing="0" w:after="0" w:afterAutospacing="0" w:line="560" w:lineRule="exact"/>
        <w:ind w:firstLine="640"/>
        <w:rPr>
          <w:rFonts w:ascii="仿宋_GB2312" w:eastAsia="黑体" w:hAnsi="仿宋_GB2312" w:cs="仿宋_GB2312"/>
          <w:color w:val="000000" w:themeColor="text1"/>
          <w:sz w:val="32"/>
          <w:szCs w:val="32"/>
        </w:rPr>
      </w:pPr>
    </w:p>
    <w:p w:rsidR="00191820" w:rsidRDefault="004421DD" w:rsidP="009E4CDE">
      <w:pPr>
        <w:adjustRightInd w:val="0"/>
        <w:snapToGrid w:val="0"/>
        <w:spacing w:line="560" w:lineRule="exact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第五章  投资促进</w:t>
      </w:r>
    </w:p>
    <w:p w:rsidR="00191820" w:rsidRDefault="00191820" w:rsidP="009E4CDE">
      <w:pPr>
        <w:pStyle w:val="a5"/>
        <w:shd w:val="clear" w:color="auto" w:fill="FFFFFF"/>
        <w:spacing w:before="0" w:beforeAutospacing="0" w:after="0" w:afterAutospacing="0" w:line="560" w:lineRule="exact"/>
        <w:ind w:firstLine="642"/>
        <w:rPr>
          <w:rStyle w:val="a6"/>
          <w:rFonts w:ascii="仿宋_GB2312" w:eastAsia="黑体" w:hAnsi="仿宋_GB2312" w:cs="仿宋_GB2312"/>
          <w:color w:val="000000" w:themeColor="text1"/>
          <w:sz w:val="32"/>
          <w:szCs w:val="32"/>
        </w:rPr>
      </w:pP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黑体" w:hAnsi="仿宋_GB2312" w:cs="仿宋_GB2312" w:hint="eastAsia"/>
          <w:color w:val="000000" w:themeColor="text1"/>
          <w:sz w:val="32"/>
          <w:szCs w:val="32"/>
        </w:rPr>
        <w:lastRenderedPageBreak/>
        <w:t xml:space="preserve">　　</w:t>
      </w:r>
      <w:r>
        <w:rPr>
          <w:rFonts w:ascii="仿宋_GB2312" w:eastAsia="黑体" w:hAnsi="仿宋_GB2312" w:cs="仿宋_GB2312" w:hint="eastAsia"/>
          <w:color w:val="000000" w:themeColor="text1"/>
          <w:kern w:val="2"/>
          <w:sz w:val="32"/>
          <w:szCs w:val="32"/>
        </w:rPr>
        <w:t>第三十条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开发区内的资源、市场、产业实行开放，企业或个人可以采用合作、合资、独资等形式进行开发利用，但法律法规另有规定的除外。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>第三十一条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开发区设立专项发展资金，用于产业扶持、人才服务、科研资助、创业扶持、基础设施和公共设施建设等支出。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 xml:space="preserve">第三十二条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开发区符合条件的企业可以发行企业债券，并通过融资担保、科技信贷风险补偿、投贷保联动及设立政府引导产业基金等方式，拓宽开发区融资渠道。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 xml:space="preserve">第三十三条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开发区应当鼓励和引导外资、社会资本参与开发区公共产品和公共服务项目的投资、运营管理，提高公共产品和公共服务供给能力。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>第三十四条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开发区培育上市后备资源，支持企业上市、融资。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 xml:space="preserve">　第三十五条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在开发区内投资的企业或个人享受下列优惠待遇：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(一)注册在开发区的属于重点鼓励发展产业目录范围内的企业，按有关规定减免企业所得税;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(二)开发区内的企业可以从境外借入人民币资金，用于园区内生产经营、项目建设以及与非居民之间的跨境交易。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(三)国家和自治区给予企业的其他优惠待遇。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>第三十六条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开发区通过国家科技型中小企业创新基金，建立科技企业孵化器，支持科技型中小企业发展。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 xml:space="preserve">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 xml:space="preserve">　第三十七条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开发区应当制定有关吸引人才、体制内外流动、创业就业等方面的鼓励扶持政策，吸引人才聚集，并享受国家和自治区的下列优惠待遇：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(一)对经认定的高层次创新创业人才，参照人才引进计划入选的政策，给予购房补贴、租房补贴，或以租代售等方式进行补助;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(二)对在开发区工作的高级人才给予科研经费等方面的扶持;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(三)对从事基础教育、医疗卫生、公共服务等相关人员，给予一定额度的开发区津贴。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>第三十八条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开发区应当在企业的设立、经营许可、人才引进、产权登记等方面实行一站式服务。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 xml:space="preserve">　第三十九条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鼓励在开发区内设立金融服务、法律服务、资产评估、信用评级、投资咨询、知识产权交易、人才资源服务等中介服务机构，为开发区的生产经营和创新创业活动提供服务。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　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>第四十条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开发区鼓励企业依法建立行业协会、商会等自律性</w:t>
      </w: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组织，维护本行业的合法权益。</w:t>
      </w:r>
    </w:p>
    <w:p w:rsidR="00191820" w:rsidRDefault="00191820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黑体" w:hAnsi="仿宋_GB2312" w:cs="仿宋_GB2312"/>
          <w:color w:val="000000" w:themeColor="text1"/>
          <w:sz w:val="32"/>
          <w:szCs w:val="32"/>
        </w:rPr>
      </w:pPr>
    </w:p>
    <w:p w:rsidR="00191820" w:rsidRDefault="004421DD" w:rsidP="009E4CDE">
      <w:pPr>
        <w:adjustRightInd w:val="0"/>
        <w:snapToGrid w:val="0"/>
        <w:spacing w:line="560" w:lineRule="exact"/>
        <w:jc w:val="center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第六章  附</w:t>
      </w:r>
      <w:r w:rsidR="009E4CDE">
        <w:rPr>
          <w:rFonts w:ascii="黑体" w:eastAsia="黑体" w:hAnsi="黑体" w:cs="黑体" w:hint="eastAsia"/>
          <w:color w:val="000000" w:themeColor="text1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则</w:t>
      </w:r>
    </w:p>
    <w:p w:rsidR="00191820" w:rsidRDefault="00191820" w:rsidP="009E4CDE">
      <w:pPr>
        <w:pStyle w:val="a5"/>
        <w:shd w:val="clear" w:color="auto" w:fill="FFFFFF"/>
        <w:spacing w:before="0" w:beforeAutospacing="0" w:after="0" w:afterAutospacing="0" w:line="560" w:lineRule="exact"/>
        <w:ind w:firstLine="642"/>
        <w:rPr>
          <w:rStyle w:val="a6"/>
          <w:rFonts w:ascii="仿宋_GB2312" w:eastAsia="黑体" w:hAnsi="仿宋_GB2312" w:cs="仿宋_GB2312"/>
          <w:color w:val="000000" w:themeColor="text1"/>
          <w:sz w:val="32"/>
          <w:szCs w:val="32"/>
        </w:rPr>
      </w:pPr>
    </w:p>
    <w:p w:rsidR="00191820" w:rsidRDefault="004421DD" w:rsidP="009E4CDE">
      <w:pPr>
        <w:pStyle w:val="a5"/>
        <w:shd w:val="clear" w:color="auto" w:fill="FFFFFF"/>
        <w:spacing w:before="0" w:beforeAutospacing="0" w:after="0" w:afterAutospacing="0"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黑体" w:hAnsi="仿宋_GB2312" w:cs="仿宋_GB2312" w:hint="eastAsia"/>
          <w:color w:val="000000" w:themeColor="text1"/>
          <w:sz w:val="32"/>
          <w:szCs w:val="32"/>
        </w:rPr>
        <w:t xml:space="preserve">　</w:t>
      </w:r>
      <w:r>
        <w:rPr>
          <w:rFonts w:ascii="黑体" w:eastAsia="黑体" w:hAnsi="黑体" w:cs="黑体" w:hint="eastAsia"/>
          <w:color w:val="000000" w:themeColor="text1"/>
          <w:kern w:val="2"/>
          <w:sz w:val="32"/>
          <w:szCs w:val="32"/>
        </w:rPr>
        <w:t xml:space="preserve">　第四十一条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本条例自2016年11月1日起施行。</w:t>
      </w:r>
    </w:p>
    <w:sectPr w:rsidR="00191820" w:rsidSect="009E4CDE">
      <w:footerReference w:type="even" r:id="rId8"/>
      <w:footerReference w:type="default" r:id="rId9"/>
      <w:pgSz w:w="11906" w:h="16838"/>
      <w:pgMar w:top="2098" w:right="1531" w:bottom="2098" w:left="1531" w:header="850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698" w:rsidRDefault="00FA4698" w:rsidP="00191820">
      <w:r>
        <w:separator/>
      </w:r>
    </w:p>
  </w:endnote>
  <w:endnote w:type="continuationSeparator" w:id="0">
    <w:p w:rsidR="00FA4698" w:rsidRDefault="00FA4698" w:rsidP="001918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20" w:rsidRDefault="0057560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08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ueST8UBAABrAwAADgAAAGRycy9lMm9Eb2MueG1srVPNjtMwEL4j8Q7W&#10;3LfJRlpUororVqtFSAiQFh7AdZzGkv80dpuUB4A34MSFO8/V52DsNl0EN8TFGXtmvvm+mcnqdrKG&#10;7RVG7R2H60UNTDnpO+22HD59fLhaAotJuE4Y7xSHg4pwu37+bDWGVjV+8KZTyAjExXYMHIaUQltV&#10;UQ7KirjwQTly9h6tSHTFbdWhGAndmqqp6xfV6LEL6KWKkV7vT05YF/y+VzK97/uoEjMciFsqJ5Zz&#10;k89qvRLtFkUYtDzTEP/AwgrtqOgF6l4kwXao/4KyWqKPvk8L6W3l+15LVTSQmuv6DzWPgwiqaKHm&#10;xHBpU/x/sPLd/gMy3XFogDlhaUTHb1+P338ef3xhTW7PGGJLUY+B4tJ05yca8/we6TGrnnq0+Ut6&#10;GPmp0YdLc9WUmMxJy2a5rMklyTdfCL96Sg8Y02vlLcsGB6TplaaK/duYTqFzSK7m/IM2pkzQODZy&#10;eHnT3JSEi4fAjaMaWcSJbLbStJnOyja+O5Aw2mAqOHj8DGykbeDgaF2BmTeOmp0XZzZwNjazIZyk&#10;RA4J2C6g3g5lyTLBGF7tEpEs3HPhU7UzH5poUX/evrwyv99L1NM/sv4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Hrnkk/FAQAAawMAAA4AAAAAAAAAAQAgAAAAHgEAAGRycy9lMm9Eb2MueG1s&#10;UEsFBgAAAAAGAAYAWQEAAFUFAAAAAA==&#10;" filled="f" stroked="f">
          <v:textbox style="mso-fit-shape-to-text:t" inset="0,0,0,0">
            <w:txbxContent>
              <w:p w:rsidR="00191820" w:rsidRDefault="004421DD">
                <w:pPr>
                  <w:adjustRightInd w:val="0"/>
                  <w:snapToGrid w:val="0"/>
                  <w:spacing w:line="240" w:lineRule="atLeast"/>
                  <w:ind w:leftChars="200" w:left="420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575604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575604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E4CDE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575604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820" w:rsidRDefault="00575604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8240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 filled="f" stroked="f">
          <v:textbox style="mso-fit-shape-to-text:t" inset="0,0,0,0">
            <w:txbxContent>
              <w:p w:rsidR="00191820" w:rsidRDefault="004421DD">
                <w:pPr>
                  <w:adjustRightInd w:val="0"/>
                  <w:snapToGrid w:val="0"/>
                  <w:spacing w:line="240" w:lineRule="atLeast"/>
                  <w:ind w:rightChars="200" w:right="420"/>
                  <w:rPr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— </w:t>
                </w:r>
                <w:r w:rsidR="00575604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575604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9E4CDE">
                  <w:rPr>
                    <w:rFonts w:ascii="宋体" w:hAnsi="宋体" w:cs="宋体"/>
                    <w:noProof/>
                    <w:sz w:val="28"/>
                    <w:szCs w:val="28"/>
                  </w:rPr>
                  <w:t>9</w:t>
                </w:r>
                <w:r w:rsidR="00575604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698" w:rsidRDefault="00FA4698" w:rsidP="00191820">
      <w:r>
        <w:separator/>
      </w:r>
    </w:p>
  </w:footnote>
  <w:footnote w:type="continuationSeparator" w:id="0">
    <w:p w:rsidR="00FA4698" w:rsidRDefault="00FA4698" w:rsidP="001918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7A4CE8"/>
    <w:rsid w:val="00191820"/>
    <w:rsid w:val="004421DD"/>
    <w:rsid w:val="00575604"/>
    <w:rsid w:val="009E4CDE"/>
    <w:rsid w:val="00F803EB"/>
    <w:rsid w:val="00FA4698"/>
    <w:rsid w:val="05097AD0"/>
    <w:rsid w:val="10B63C0C"/>
    <w:rsid w:val="166E52DE"/>
    <w:rsid w:val="280A3758"/>
    <w:rsid w:val="31DD71E5"/>
    <w:rsid w:val="44611165"/>
    <w:rsid w:val="50A13A06"/>
    <w:rsid w:val="5E7A4CE8"/>
    <w:rsid w:val="688B2412"/>
    <w:rsid w:val="6F6010DB"/>
    <w:rsid w:val="7A8C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182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9182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9182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9182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1918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qFormat/>
    <w:rsid w:val="00191820"/>
    <w:rPr>
      <w:b/>
      <w:bCs/>
    </w:rPr>
  </w:style>
  <w:style w:type="character" w:styleId="a7">
    <w:name w:val="Hyperlink"/>
    <w:basedOn w:val="a0"/>
    <w:qFormat/>
    <w:rsid w:val="001918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gongwen.cnrencai.com/juedin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861;&#35268;&#25991;&#26412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法规文本</Template>
  <TotalTime>1</TotalTime>
  <Pages>9</Pages>
  <Words>621</Words>
  <Characters>3542</Characters>
  <Application>Microsoft Office Word</Application>
  <DocSecurity>0</DocSecurity>
  <Lines>29</Lines>
  <Paragraphs>8</Paragraphs>
  <ScaleCrop>false</ScaleCrop>
  <Company/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</cp:lastModifiedBy>
  <cp:revision>3</cp:revision>
  <cp:lastPrinted>2017-03-30T11:03:00Z</cp:lastPrinted>
  <dcterms:created xsi:type="dcterms:W3CDTF">2017-03-14T10:01:00Z</dcterms:created>
  <dcterms:modified xsi:type="dcterms:W3CDTF">2019-08-23T08:28:00Z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