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福建省房屋消费者权益保护条例</w:t>
      </w:r>
    </w:p>
    <w:p>
      <w:pPr>
        <w:pStyle w:val="3"/>
        <w:rPr>
          <w:rFonts w:hint="eastAsia"/>
        </w:rPr>
      </w:pPr>
      <w:r>
        <w:rPr>
          <w:rFonts w:hint="eastAsia"/>
        </w:rPr>
        <w:t>（</w:t>
      </w:r>
      <w:r>
        <w:rPr>
          <w:rFonts w:hint="eastAsia" w:ascii="楷体_GB2312" w:hAnsi="楷体_GB2312" w:eastAsia="楷体_GB2312" w:cs="楷体_GB2312"/>
        </w:rPr>
        <w:t>2000</w:t>
      </w:r>
      <w:r>
        <w:rPr>
          <w:rFonts w:hint="eastAsia"/>
        </w:rPr>
        <w:t>年</w:t>
      </w:r>
      <w:r>
        <w:rPr>
          <w:rFonts w:hint="eastAsia" w:ascii="楷体_GB2312" w:hAnsi="楷体_GB2312" w:eastAsia="楷体_GB2312" w:cs="楷体_GB2312"/>
        </w:rPr>
        <w:t>11月18</w:t>
      </w:r>
      <w:r>
        <w:rPr>
          <w:rFonts w:hint="eastAsia"/>
        </w:rPr>
        <w:t>日福建省第九届人民代表大会常务委员会第二十二次会议</w:t>
      </w:r>
      <w:bookmarkStart w:id="0" w:name="_GoBack"/>
      <w:bookmarkEnd w:id="0"/>
      <w:r>
        <w:rPr>
          <w:rFonts w:hint="eastAsia"/>
        </w:rPr>
        <w:t>通过）</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为保护房屋消费者的合法权益，维护房地产市场秩序，促进房地产业的健康发展，根据《中华人民共和国消费者权益保护法》及其他有关法律、法规，结合本省实际，制定本条例。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在本省行政区域内向房屋开发者、销售者购买房屋的消费者，因旧房被拆迁与拆迁人调换房屋产权的消费者，其合法权益受国家法律、法规和本条例保护。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房屋开发者、销售者和拆迁人，以下统称经营者。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经营者与消费者之间买卖房屋、调换房屋产权，应当遵循自愿、平等、公平、诚实信用的原则。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地方各级人民政府建设、房地产行政主管部门、工商行政管理部门和其他有关行政管理部门应当在各自的职责范围内，维护房屋消费者的合法权益。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各级消费者委员会、大众传播媒介、其他组织和个人有权对损害房屋消费者合法权益的行为进行监督。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消费者在获得房屋前，有权知悉房屋及其相关物业的真实情况。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经营者消费者销售（预售）房屋时，应当告知消费者或者明示房屋的下列情况：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（一）房屋的坐落位置、设计环境、建筑结构、质量、用地性质及使用年限；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（二）期房的预售许可证明或者现房的合格证明，受托销售的书面委托书；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（三）房屋的面积构成、计价内容及与房屋有关费用的承担情况；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（四）房屋设定抵押或者其他使房屋权利受限制的情形；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6"/>
          <w:sz w:val="32"/>
          <w:szCs w:val="32"/>
        </w:rPr>
        <w:t>房屋交付使用时的装修标准、设施配套和物业服务情况。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经营者不得以售楼广告、设计说明、实物样楼或者其他方式对房屋质量、售后服务、环境状况作不实表示，不得误导和欺诈消费者。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买卖房屋、与经营者调换房屋产权证应当签订书面合同。房屋买卖应当使用建设部和国家工商行政管理局制定的商品房买卖合同示范文本，并附有房屋建筑的平面图。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消费者可以与经营者约定以房屋套内建筑面积或者以套内使用面积作为交易计价结算的依据。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消费者要求在合同中明确房屋的层高、配套设施以及公共配套项目和其他事项的，合同应当作补充约定。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经营者不得以格式合同、通知、声明、告示或者其他方式对房屋消费者作不公平、不合理的规定，或者作减轻、免除其承担民事责任的规定。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应当依法律、法规的规定和合同的约定履行合同，不得在合同签订前收取定金，不得在合同外收取费用；经营者获准变更规划设计和建筑设计的，应当在获准变更之日起十日内书面通知消费者，与消费者协商变更或解除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经营者应当保证其交付消费者使用的房屋符合安全要求和约定的质量标准，并向消费者提供下列文件：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（一）房屋的质量保证书、使用说明书；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（二）房屋面积测量的证明文件（附件）；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（三）房屋权属登记的证明文件；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（四）其他与房屋有关的凭证。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应当按质量保证书列明的保修范围、保修期和保修单位，承担对房屋的保修责任；经营者与消费者未约定保修期的，保修期不得低于法定年限，自房屋交付消费者使用之日起计算。因保修影响房屋使用，给消费者造成损失的，经营者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预售合同签订后，应当办理预售合同的备案登记；房屋交付消费者使用后，应当依法办理房地产权属登记手续。因房屋权利受限制或者其他原因，致使房屋权属在一年内无法登记确认的，除房屋买卖合同中另有规定者外，消费者可以要求经营者予以退房或者换房，并可以要求经营者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消费者以预付款方式购买房屋，或者与经营者调换房屋产权的，经营者未能按照约定期限提供房屋的，消费者可以要求经营者限期履行约定，并按约定支付违约金；未约定违约金的，自逾期之日起按预付款的日万分之三至万分之五计付违约金，并承担消费者应当支付的其他合理费用；逾期满一年未能交付使用的，消费者有权要求经营者退还预付款，并赔偿消费者受到的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经营者提供的房屋经法定的工程质量检测机构检验测定，地基基础或者主体结构质量不合格，消费者要求退房或者换房的，经营者必须予以退房或者换房，并承担消费者装修、搬迁、检测等费用。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修期内，因房屋出现渗漏、开裂等质量缺陷（除因消费者装修或使用不当造成外），或者房屋设施不符合法律法规规定、合同约定的，消费者可以要求经营者承担修理、重作、更换或者赔偿损失的责任；经营者不予修理，或者连续修理、重作、更换两次仍不合格或者不合约定的，消费者有权要求经营者退房或者换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消费者认为房屋面积不足、分摊的共有面积不合理时，可以委托房屋测量机构检验测定；房屋面积允许误差未约定，不足部分超过千分之六的，经营者应当加倍予以补偿，并承担房屋面积的测量费用和消费者因此而受到的其他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经营者有下列欺诈行为之一的，消费者有权请求人民法院或者仲裁机构变更或者撤销合同，并可以要求经营者加倍赔偿损失：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（一）将违法建设的房屋销售给不知情的消费者的；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（二）将同一房屋销售给不同消费者的；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（三）故意隐瞒房屋权利受限制的情况，诱使消费者购买的；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（四）以虚假承诺诱骗消费者签订购房合同的；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（五）其他欺诈消费者的行为。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消费者在购买、使用房屋时，因房屋质量原因使合法权益受到损害的，可以要求经营者赔偿。损害的发生是由于施工或者其他非经营者原因造成的，经营者与责任单位或者个人应当承担连带责任。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房屋消费者与经营者发生消费权益争议的，可以协商和解，消费者也可以通过下列途径解决：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（一）请求当地的消费者委员会调解处理；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（二）向工商行政管理和建设、房地产行政管理部门申诉；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（三）根据与经营者达成的仲裁协议提请仲裁机构仲裁；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有关行政管理部门接到房屋消费者的投诉后，应当在规定期限内进行处理。不属于本部门职责范围的，应当在接到投诉后七日内移送其他有关部门处理。行政管理部门及其工作人员对经营者侵害房屋消费者权益的违法行为不依法予以处理的，消费者委员会可以应消费者的书面要求质询该行政管理部门。行政管理部门对消费者委员会的质询事项应当组织听证、作出处理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经营者有下列情形之一的，由相关的行政管理部门依法予以处罚：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（一）经营的房屋不符合质量和安全要求的，由建设、房地产行政管理部门予以处罚；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（二）对房屋、售后服务作虚假宣传或者不实表示的，由工商行政管理部门予以处罚；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（三）采用欺诈或者其他方式侵害消费者权益的，由工商行政管理部门予以处罚。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国家机关工作人员玩忽职守或者包庇经营者侵害消费者合法权益的，其所在单位或者上级机关应当给予行政处分，构成犯罪的，依法追究刑事责任。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本条例自2001年1月1日起施行。</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7DC354C"/>
    <w:rsid w:val="0BB7528F"/>
    <w:rsid w:val="11621F6A"/>
    <w:rsid w:val="14704D28"/>
    <w:rsid w:val="14DF1382"/>
    <w:rsid w:val="1EA33493"/>
    <w:rsid w:val="23364216"/>
    <w:rsid w:val="23DB78BE"/>
    <w:rsid w:val="271E2FC5"/>
    <w:rsid w:val="273E4908"/>
    <w:rsid w:val="332B094A"/>
    <w:rsid w:val="35FF24AD"/>
    <w:rsid w:val="39D500AD"/>
    <w:rsid w:val="3B376E18"/>
    <w:rsid w:val="3BE85E9A"/>
    <w:rsid w:val="465A1F42"/>
    <w:rsid w:val="4AD92A82"/>
    <w:rsid w:val="4D926D1E"/>
    <w:rsid w:val="533D7A46"/>
    <w:rsid w:val="53790912"/>
    <w:rsid w:val="667D2408"/>
    <w:rsid w:val="70FC57B5"/>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2017-02-09T06:56:18Z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