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left"/>
        <w:textAlignment w:val="auto"/>
        <w:outlineLvl w:val="9"/>
        <w:rPr>
          <w:rFonts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left"/>
        <w:textAlignment w:val="auto"/>
        <w:outlineLvl w:val="9"/>
        <w:rPr>
          <w:rFonts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outlineLvl w:val="9"/>
        <w:rPr>
          <w:rFonts w:ascii="宋体" w:hAnsi="宋体" w:eastAsia="宋体" w:cs="宋体"/>
          <w:color w:val="auto"/>
          <w:spacing w:val="0"/>
          <w:position w:val="0"/>
          <w:sz w:val="44"/>
          <w:szCs w:val="44"/>
          <w:shd w:val="clear" w:fill="auto"/>
        </w:rPr>
      </w:pPr>
      <w:r>
        <w:rPr>
          <w:rFonts w:ascii="宋体" w:hAnsi="宋体" w:eastAsia="宋体" w:cs="宋体"/>
          <w:color w:val="auto"/>
          <w:spacing w:val="0"/>
          <w:position w:val="0"/>
          <w:sz w:val="44"/>
          <w:szCs w:val="44"/>
          <w:shd w:val="clear" w:fill="auto"/>
        </w:rPr>
        <w:t>河北省法制宣传教育条例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left"/>
        <w:textAlignment w:val="auto"/>
        <w:outlineLvl w:val="9"/>
        <w:rPr>
          <w:rFonts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 w:hAnsi="楷体" w:eastAsia="楷体" w:cs="楷体"/>
          <w:color w:val="auto"/>
          <w:spacing w:val="0"/>
          <w:position w:val="0"/>
          <w:sz w:val="32"/>
          <w:szCs w:val="32"/>
          <w:shd w:val="clear" w:fill="auto"/>
        </w:rPr>
      </w:pPr>
      <w:r>
        <w:rPr>
          <w:rFonts w:hint="eastAsia" w:ascii="楷体" w:hAnsi="楷体" w:eastAsia="楷体" w:cs="楷体"/>
          <w:color w:val="auto"/>
          <w:spacing w:val="0"/>
          <w:position w:val="0"/>
          <w:sz w:val="32"/>
          <w:szCs w:val="32"/>
          <w:shd w:val="clear" w:fill="auto"/>
        </w:rPr>
        <w:t>（2013年5月30日河北省第十二届人民代表大会常务委员会第二次会议通过）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left"/>
        <w:textAlignment w:val="auto"/>
        <w:outlineLvl w:val="9"/>
        <w:rPr>
          <w:rFonts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第一条</w:t>
      </w:r>
      <w:r>
        <w:rPr>
          <w:rFonts w:hint="eastAsia" w:ascii="仿宋" w:hAnsi="仿宋" w:eastAsia="仿宋" w:cs="仿宋"/>
          <w:color w:val="auto"/>
          <w:spacing w:val="0"/>
          <w:position w:val="0"/>
          <w:sz w:val="32"/>
          <w:szCs w:val="32"/>
          <w:shd w:val="clear" w:fill="auto"/>
        </w:rPr>
        <w:t>　为了加强和规范法制宣传教育工作，提高公民的法律素质，推进法治河北建设，根据有关法律、法规的规定，结合本省实际，制定本条例。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第二条</w:t>
      </w:r>
      <w:r>
        <w:rPr>
          <w:rFonts w:hint="eastAsia" w:ascii="仿宋" w:hAnsi="仿宋" w:eastAsia="仿宋" w:cs="仿宋"/>
          <w:color w:val="auto"/>
          <w:spacing w:val="0"/>
          <w:position w:val="0"/>
          <w:sz w:val="32"/>
          <w:szCs w:val="32"/>
          <w:shd w:val="clear" w:fill="auto"/>
        </w:rPr>
        <w:t>　在本省行政区域内开展法制宣传教育，适用本条例。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第三条</w:t>
      </w:r>
      <w:r>
        <w:rPr>
          <w:rFonts w:hint="eastAsia" w:ascii="仿宋" w:hAnsi="仿宋" w:eastAsia="仿宋" w:cs="仿宋"/>
          <w:color w:val="auto"/>
          <w:spacing w:val="0"/>
          <w:position w:val="0"/>
          <w:sz w:val="32"/>
          <w:szCs w:val="32"/>
          <w:shd w:val="clear" w:fill="auto"/>
        </w:rPr>
        <w:t>　法制宣传教育是全社会的共同责任。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国家机关、社会团体、企业事业单位、武装力量和其他组织应当做好法制宣传教育工作。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接受法制宣传教育是公民依法享有的权利和应尽的义务。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第四条</w:t>
      </w:r>
      <w:r>
        <w:rPr>
          <w:rFonts w:hint="eastAsia" w:ascii="仿宋" w:hAnsi="仿宋" w:eastAsia="仿宋" w:cs="仿宋"/>
          <w:color w:val="auto"/>
          <w:spacing w:val="0"/>
          <w:position w:val="0"/>
          <w:sz w:val="32"/>
          <w:szCs w:val="32"/>
          <w:shd w:val="clear" w:fill="auto"/>
        </w:rPr>
        <w:t>　法制宣传教育应当坚持围绕中心，服务大局；以人为本，服务群众；分类指导，注重实效；学用结合，普治并举；与时俱进，改革创新的原则。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第五条</w:t>
      </w:r>
      <w:r>
        <w:rPr>
          <w:rFonts w:hint="eastAsia" w:ascii="仿宋" w:hAnsi="仿宋" w:eastAsia="仿宋" w:cs="仿宋"/>
          <w:color w:val="auto"/>
          <w:spacing w:val="0"/>
          <w:position w:val="0"/>
          <w:sz w:val="32"/>
          <w:szCs w:val="32"/>
          <w:shd w:val="clear" w:fill="auto"/>
        </w:rPr>
        <w:t>　法制宣传教育的基本任务是，普及宪法和法律基本知识，教育公民依法行使权利、履行义务，增强公民的法律意识；提高国家公职人员的法律素质，促进依法行政、公正执法和公正司法，推进依法治理。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第六条</w:t>
      </w:r>
      <w:r>
        <w:rPr>
          <w:rFonts w:hint="eastAsia" w:ascii="仿宋" w:hAnsi="仿宋" w:eastAsia="仿宋" w:cs="仿宋"/>
          <w:color w:val="auto"/>
          <w:spacing w:val="0"/>
          <w:position w:val="0"/>
          <w:sz w:val="32"/>
          <w:szCs w:val="32"/>
          <w:shd w:val="clear" w:fill="auto"/>
        </w:rPr>
        <w:t>　各级人民代表大会及其常务委员会应当加强对法制宣传教育工作的监督检查，听取本级人民政府及其有关部门的工作报告。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第七条</w:t>
      </w:r>
      <w:r>
        <w:rPr>
          <w:rFonts w:hint="eastAsia" w:ascii="仿宋" w:hAnsi="仿宋" w:eastAsia="仿宋" w:cs="仿宋"/>
          <w:color w:val="auto"/>
          <w:spacing w:val="0"/>
          <w:position w:val="0"/>
          <w:sz w:val="32"/>
          <w:szCs w:val="32"/>
          <w:shd w:val="clear" w:fill="auto"/>
        </w:rPr>
        <w:t>　县级以上人民政府应当把法制宣传教育纳入经济社会发展规划和政府目标管理，实行绩效考核。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法制宣传教育经费应当列入同级政府财政预算，足额拨付，专款专用。同级人民代表大会及其常务委员会应当加强对预算和预算执行情况的监督检查。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第八条</w:t>
      </w:r>
      <w:r>
        <w:rPr>
          <w:rFonts w:hint="eastAsia" w:ascii="仿宋" w:hAnsi="仿宋" w:eastAsia="仿宋" w:cs="仿宋"/>
          <w:color w:val="auto"/>
          <w:spacing w:val="0"/>
          <w:position w:val="0"/>
          <w:sz w:val="32"/>
          <w:szCs w:val="32"/>
          <w:shd w:val="clear" w:fill="auto"/>
        </w:rPr>
        <w:t>　县级以上人民政府司法行政部门主管本行政区域内的法制宣传教育工作，履行下列职责：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（一）贯彻执行有关法制宣传教育的法律、法规、决议，建立健全法制宣传教育工作制度；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（二）研究制定法制宣传教育规划、年度计划，并组织实施；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（三）组织、协调、指导、检查本行政区域的法制宣传教育工作；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（四）对本行政区域的法制宣传教育工作情况进行考核、评比和表彰；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（五）组织法制宣传教育培训、考试；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（六）总结推广法制宣传教育经验；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（七）推动依法治理工作；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（八）办理法制宣传教育的其他事项。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第九条</w:t>
      </w:r>
      <w:r>
        <w:rPr>
          <w:rFonts w:hint="eastAsia" w:ascii="仿宋" w:hAnsi="仿宋" w:eastAsia="仿宋" w:cs="仿宋"/>
          <w:color w:val="auto"/>
          <w:spacing w:val="0"/>
          <w:position w:val="0"/>
          <w:sz w:val="32"/>
          <w:szCs w:val="32"/>
          <w:shd w:val="clear" w:fill="auto"/>
        </w:rPr>
        <w:t>　省人民政府司法行政部门应当会同有关部门，根据不同对象，组织编印和发行全省统一的各类法制宣传教育的教材。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第十条</w:t>
      </w:r>
      <w:r>
        <w:rPr>
          <w:rFonts w:hint="eastAsia" w:ascii="仿宋" w:hAnsi="仿宋" w:eastAsia="仿宋" w:cs="仿宋"/>
          <w:color w:val="auto"/>
          <w:spacing w:val="0"/>
          <w:position w:val="0"/>
          <w:sz w:val="32"/>
          <w:szCs w:val="32"/>
          <w:shd w:val="clear" w:fill="auto"/>
        </w:rPr>
        <w:t>　国家机关、社会团体、企业事业单位、武装力量和其他组织应当明确法制宣传教育机构，并设专（兼）职人员负责。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乡（镇）、街道法制宣传教育组织、村（居）民委员会应当设专（兼）职人员负责法制宣传教育工作。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第十一条</w:t>
      </w:r>
      <w:r>
        <w:rPr>
          <w:rFonts w:hint="eastAsia" w:ascii="仿宋" w:hAnsi="仿宋" w:eastAsia="仿宋" w:cs="仿宋"/>
          <w:color w:val="auto"/>
          <w:spacing w:val="0"/>
          <w:position w:val="0"/>
          <w:sz w:val="32"/>
          <w:szCs w:val="32"/>
          <w:shd w:val="clear" w:fill="auto"/>
        </w:rPr>
        <w:t>　司法机关、行政执法部门应当对司法人员和行政执法人员进行经常性的法律知识培训、考试或者考核，并结合司法、行政执法工作，有针对性地向社会开展法制宣传教育。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第十二条</w:t>
      </w:r>
      <w:r>
        <w:rPr>
          <w:rFonts w:hint="eastAsia" w:ascii="仿宋" w:hAnsi="仿宋" w:eastAsia="仿宋" w:cs="仿宋"/>
          <w:color w:val="auto"/>
          <w:spacing w:val="0"/>
          <w:position w:val="0"/>
          <w:sz w:val="32"/>
          <w:szCs w:val="32"/>
          <w:shd w:val="clear" w:fill="auto"/>
        </w:rPr>
        <w:t>　具有任免权的国家机关应当对国家公职人员进行法律知识培训和执法实绩考核，并将其法律知识水平和执法实绩纳入国家公职人员拟提拔使用的考查内容，推行干部任前法律知识考试制度。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第十三条</w:t>
      </w:r>
      <w:r>
        <w:rPr>
          <w:rFonts w:hint="eastAsia" w:ascii="仿宋" w:hAnsi="仿宋" w:eastAsia="仿宋" w:cs="仿宋"/>
          <w:color w:val="auto"/>
          <w:spacing w:val="0"/>
          <w:position w:val="0"/>
          <w:sz w:val="32"/>
          <w:szCs w:val="32"/>
          <w:shd w:val="clear" w:fill="auto"/>
        </w:rPr>
        <w:t>　人力资源和社会保障部门应当将法律知识学习列入公务员培训计划，录用国家公务员应当把法律知识列为考试的重要内容。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第十四条</w:t>
      </w:r>
      <w:r>
        <w:rPr>
          <w:rFonts w:hint="eastAsia" w:ascii="仿宋" w:hAnsi="仿宋" w:eastAsia="仿宋" w:cs="仿宋"/>
          <w:color w:val="auto"/>
          <w:spacing w:val="0"/>
          <w:position w:val="0"/>
          <w:sz w:val="32"/>
          <w:szCs w:val="32"/>
          <w:shd w:val="clear" w:fill="auto"/>
        </w:rPr>
        <w:t>　教育行政部门应当把法制宣传教育纳入各级各类学校的教育教学计划。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学校应当通过课堂教学、专题教育、课外活动等多种方式，对学生开展法制宣传教育。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中小学校应当明确法制副校长、法制辅导员，定期组织开展法制宣传教育活动，保障法制宣传教育课时、教材、师资、经费落实。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各级各类培训机构应当将法制宣传教育纳入教学计划和培训规划，并组织实施。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第十五条</w:t>
      </w:r>
      <w:r>
        <w:rPr>
          <w:rFonts w:hint="eastAsia" w:ascii="仿宋" w:hAnsi="仿宋" w:eastAsia="仿宋" w:cs="仿宋"/>
          <w:color w:val="auto"/>
          <w:spacing w:val="0"/>
          <w:position w:val="0"/>
          <w:sz w:val="32"/>
          <w:szCs w:val="32"/>
          <w:shd w:val="clear" w:fill="auto"/>
        </w:rPr>
        <w:t>　国有资产监督管理、工业和信息化、工商行政管理、税务等有关部门以及相关行业协会（学会）应当按照各自的职责，对企业经营管理人员和个体工商户进行法制宣传教育和培训，增强其诚信守法、依法经营、依法维权的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第十六条</w:t>
      </w:r>
      <w:r>
        <w:rPr>
          <w:rFonts w:hint="eastAsia" w:ascii="仿宋" w:hAnsi="仿宋" w:eastAsia="仿宋" w:cs="仿宋"/>
          <w:color w:val="auto"/>
          <w:spacing w:val="0"/>
          <w:position w:val="0"/>
          <w:sz w:val="32"/>
          <w:szCs w:val="32"/>
          <w:shd w:val="clear" w:fill="auto"/>
        </w:rPr>
        <w:t>　发展和改革、公安、民政、卫生和计划生育、人力资源和社会保障等有关部门应当按照各自的职责，加强对流动人员、进城务工人员、失业人员的法制宣传教育，提高其守法意识和维权能力。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第十七条</w:t>
      </w:r>
      <w:r>
        <w:rPr>
          <w:rFonts w:hint="eastAsia" w:ascii="仿宋" w:hAnsi="仿宋" w:eastAsia="仿宋" w:cs="仿宋"/>
          <w:color w:val="auto"/>
          <w:spacing w:val="0"/>
          <w:position w:val="0"/>
          <w:sz w:val="32"/>
          <w:szCs w:val="32"/>
          <w:shd w:val="clear" w:fill="auto"/>
        </w:rPr>
        <w:t>　公安、司法行政部门应当对被羁押的犯罪嫌疑人、拘留人员、服刑人员、强制隔离戒毒人员等进行法制宣传教育，并会同有关部门对取保候审、监视居住、社区矫正等人员开展法制宣传教育。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第十八条</w:t>
      </w:r>
      <w:r>
        <w:rPr>
          <w:rFonts w:hint="eastAsia" w:ascii="仿宋" w:hAnsi="仿宋" w:eastAsia="仿宋" w:cs="仿宋"/>
          <w:color w:val="auto"/>
          <w:spacing w:val="0"/>
          <w:position w:val="0"/>
          <w:sz w:val="32"/>
          <w:szCs w:val="32"/>
          <w:shd w:val="clear" w:fill="auto"/>
        </w:rPr>
        <w:t>　文化、新闻出版、广播电视等部门应当加强法治文化建设，推进法治文化教育基地和阵地建设，指导法制宣传教育题材的文学艺术作品创作、演出、出版和播映工作，组织开展多种形式的法制宣传教育。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第十九条</w:t>
      </w:r>
      <w:r>
        <w:rPr>
          <w:rFonts w:hint="eastAsia" w:ascii="仿宋" w:hAnsi="仿宋" w:eastAsia="仿宋" w:cs="仿宋"/>
          <w:color w:val="auto"/>
          <w:spacing w:val="0"/>
          <w:position w:val="0"/>
          <w:sz w:val="32"/>
          <w:szCs w:val="32"/>
          <w:shd w:val="clear" w:fill="auto"/>
        </w:rPr>
        <w:t>　报刊、网络、广播、电视等大众传播媒介应当加强法制宣传，履行好社会责任。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第二十条</w:t>
      </w:r>
      <w:r>
        <w:rPr>
          <w:rFonts w:hint="eastAsia" w:ascii="仿宋" w:hAnsi="仿宋" w:eastAsia="仿宋" w:cs="仿宋"/>
          <w:color w:val="auto"/>
          <w:spacing w:val="0"/>
          <w:position w:val="0"/>
          <w:sz w:val="32"/>
          <w:szCs w:val="32"/>
          <w:shd w:val="clear" w:fill="auto"/>
        </w:rPr>
        <w:t>　工会、共青团、妇联、残联等组织应当根据自身工作特点宣传和普及法律知识，教育职工、青少年、妇女和残疾人依法维护自身合法权益，履行法定义务。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第二十一条</w:t>
      </w:r>
      <w:r>
        <w:rPr>
          <w:rFonts w:hint="eastAsia" w:ascii="仿宋" w:hAnsi="仿宋" w:eastAsia="仿宋" w:cs="仿宋"/>
          <w:color w:val="auto"/>
          <w:spacing w:val="0"/>
          <w:position w:val="0"/>
          <w:sz w:val="32"/>
          <w:szCs w:val="32"/>
          <w:shd w:val="clear" w:fill="auto"/>
        </w:rPr>
        <w:t>　民族宗教事务部门应当组织民族宗教工作人员和宗教教职人员进行法律知识培训，开展对少数民族和信教群众的法制宣传教育。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第二十二条</w:t>
      </w:r>
      <w:r>
        <w:rPr>
          <w:rFonts w:hint="eastAsia" w:ascii="仿宋" w:hAnsi="仿宋" w:eastAsia="仿宋" w:cs="仿宋"/>
          <w:color w:val="auto"/>
          <w:spacing w:val="0"/>
          <w:position w:val="0"/>
          <w:sz w:val="32"/>
          <w:szCs w:val="32"/>
          <w:shd w:val="clear" w:fill="auto"/>
        </w:rPr>
        <w:t>　乡（镇）人民政府、街道办事处应当组织、指导村（居）民委员会开展法制宣传教育。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仿宋" w:hAnsi="仿宋" w:eastAsia="仿宋" w:cs="仿宋"/>
          <w:color w:val="auto"/>
          <w:spacing w:val="0"/>
          <w:position w:val="0"/>
          <w:sz w:val="32"/>
          <w:szCs w:val="32"/>
          <w:shd w:val="clear" w:fill="auto"/>
        </w:rPr>
        <w:t>村（居）民委员会应当利用广播站、文化站、农村夜校、远程教育网、农村书屋、宣传栏等途径向村（居）民进行法制宣传教育。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第二十三条</w:t>
      </w:r>
      <w:r>
        <w:rPr>
          <w:rFonts w:hint="eastAsia" w:ascii="仿宋" w:hAnsi="仿宋" w:eastAsia="仿宋" w:cs="仿宋"/>
          <w:color w:val="auto"/>
          <w:spacing w:val="0"/>
          <w:position w:val="0"/>
          <w:sz w:val="32"/>
          <w:szCs w:val="32"/>
          <w:shd w:val="clear" w:fill="auto"/>
        </w:rPr>
        <w:t>　县级以上人民政府及各有关部门应当按照国家和本省有关规定，对在法制宣传教育工作中成绩显著的单位和个人给予表彰和奖励。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第二十四条</w:t>
      </w:r>
      <w:r>
        <w:rPr>
          <w:rFonts w:hint="eastAsia" w:ascii="仿宋" w:hAnsi="仿宋" w:eastAsia="仿宋" w:cs="仿宋"/>
          <w:color w:val="auto"/>
          <w:spacing w:val="0"/>
          <w:position w:val="0"/>
          <w:sz w:val="32"/>
          <w:szCs w:val="32"/>
          <w:shd w:val="clear" w:fill="auto"/>
        </w:rPr>
        <w:t>　对法制宣传教育工作未达到验收标准的单位，由县级以上司法行政部门责令限期改正；逾期不改正的，由同级人民政府给予通报批评。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第二十五条</w:t>
      </w:r>
      <w:r>
        <w:rPr>
          <w:rFonts w:hint="eastAsia" w:ascii="仿宋" w:hAnsi="仿宋" w:eastAsia="仿宋" w:cs="仿宋"/>
          <w:color w:val="auto"/>
          <w:spacing w:val="0"/>
          <w:position w:val="0"/>
          <w:sz w:val="32"/>
          <w:szCs w:val="32"/>
          <w:shd w:val="clear" w:fill="auto"/>
        </w:rPr>
        <w:t>　挪用、截留、贪污、侵占法制宣传教育经费的，依法追究责任。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bookmarkStart w:id="0" w:name="_GoBack"/>
      <w:r>
        <w:rPr>
          <w:rFonts w:hint="eastAsia" w:ascii="黑体" w:hAnsi="黑体" w:eastAsia="黑体" w:cs="黑体"/>
          <w:color w:val="auto"/>
          <w:spacing w:val="0"/>
          <w:position w:val="0"/>
          <w:sz w:val="32"/>
          <w:szCs w:val="32"/>
          <w:shd w:val="clear" w:fill="auto"/>
        </w:rPr>
        <w:t>第二十六条</w:t>
      </w:r>
      <w:bookmarkEnd w:id="0"/>
      <w:r>
        <w:rPr>
          <w:rFonts w:hint="eastAsia" w:ascii="仿宋" w:hAnsi="仿宋" w:eastAsia="仿宋" w:cs="仿宋"/>
          <w:color w:val="auto"/>
          <w:spacing w:val="0"/>
          <w:position w:val="0"/>
          <w:sz w:val="32"/>
          <w:szCs w:val="32"/>
          <w:shd w:val="clear" w:fill="auto"/>
        </w:rPr>
        <w:t>　本条例自2013年7月1日起施行。1995年12月26日河北省第八届人民代表大会常务委员会第十八次会议通过的《河北省法制宣传教育工作的若干规定》同时废止。</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汉仪长美黑简">
    <w:panose1 w:val="02010609000101010101"/>
    <w:charset w:val="86"/>
    <w:family w:val="auto"/>
    <w:pitch w:val="default"/>
    <w:sig w:usb0="00000001" w:usb1="080E0800" w:usb2="00000002"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像素18">
    <w:panose1 w:val="02010600000000000000"/>
    <w:charset w:val="86"/>
    <w:family w:val="auto"/>
    <w:pitch w:val="default"/>
    <w:sig w:usb0="00000001" w:usb1="080E0000" w:usb2="00000000" w:usb3="00000000" w:csb0="00040000" w:csb1="00000000"/>
  </w:font>
  <w:font w:name="方正像素24">
    <w:panose1 w:val="02010600000000000000"/>
    <w:charset w:val="86"/>
    <w:family w:val="auto"/>
    <w:pitch w:val="default"/>
    <w:sig w:usb0="00000001" w:usb1="080E0000" w:usb2="00000000" w:usb3="00000000" w:csb0="00040000" w:csb1="00000000"/>
  </w:font>
  <w:font w:name="方正兰亭中粗黑_GBK">
    <w:panose1 w:val="02000000000000000000"/>
    <w:charset w:val="86"/>
    <w:family w:val="auto"/>
    <w:pitch w:val="default"/>
    <w:sig w:usb0="00000001" w:usb1="08000000" w:usb2="00000000" w:usb3="00000000" w:csb0="00040000" w:csb1="00000000"/>
  </w:font>
  <w:font w:name="方正兰亭准黑_GBK">
    <w:panose1 w:val="02000000000000000000"/>
    <w:charset w:val="86"/>
    <w:family w:val="auto"/>
    <w:pitch w:val="default"/>
    <w:sig w:usb0="00000001" w:usb1="08000000" w:usb2="00000000" w:usb3="00000000" w:csb0="00040000" w:csb1="00000000"/>
  </w:font>
  <w:font w:name="方正兰亭刊宋_GBK">
    <w:panose1 w:val="02000000000000000000"/>
    <w:charset w:val="86"/>
    <w:family w:val="auto"/>
    <w:pitch w:val="default"/>
    <w:sig w:usb0="00000001" w:usb1="08000000" w:usb2="00000000" w:usb3="00000000" w:csb0="00040000" w:csb1="00000000"/>
  </w:font>
  <w:font w:name="方正兰亭刊黑_GBK">
    <w:panose1 w:val="02000000000000000000"/>
    <w:charset w:val="86"/>
    <w:family w:val="auto"/>
    <w:pitch w:val="default"/>
    <w:sig w:usb0="00000001" w:usb1="08000000" w:usb2="00000000" w:usb3="00000000" w:csb0="00040000" w:csb1="00000000"/>
  </w:font>
  <w:font w:name="方正兰亭特黑长_GBK">
    <w:panose1 w:val="02000000000000000000"/>
    <w:charset w:val="86"/>
    <w:family w:val="auto"/>
    <w:pitch w:val="default"/>
    <w:sig w:usb0="00000001" w:usb1="0800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黑长_GBK">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 w:name="方正汉真广标简体">
    <w:panose1 w:val="02000000000000000000"/>
    <w:charset w:val="86"/>
    <w:family w:val="auto"/>
    <w:pitch w:val="default"/>
    <w:sig w:usb0="00000001" w:usb1="08000000" w:usb2="00000000" w:usb3="00000000" w:csb0="00040000" w:csb1="00000000"/>
  </w:font>
  <w:font w:name="方正汉简简体">
    <w:panose1 w:val="02000000000000000000"/>
    <w:charset w:val="86"/>
    <w:family w:val="auto"/>
    <w:pitch w:val="default"/>
    <w:sig w:usb0="00000001" w:usb1="0800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琥珀繁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细圆繁体">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3C0041" w:csb1="A008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艺黑繁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汉仪中圆简">
    <w:panose1 w:val="02010609000101010101"/>
    <w:charset w:val="86"/>
    <w:family w:val="auto"/>
    <w:pitch w:val="default"/>
    <w:sig w:usb0="00000001" w:usb1="080E0800" w:usb2="00000002" w:usb3="00000000" w:csb0="00040000" w:csb1="00000000"/>
  </w:font>
  <w:font w:name="汉仪中等线简">
    <w:panose1 w:val="02010609000101010101"/>
    <w:charset w:val="86"/>
    <w:family w:val="auto"/>
    <w:pitch w:val="default"/>
    <w:sig w:usb0="00000001" w:usb1="080E0800" w:usb2="00000002" w:usb3="00000000" w:csb0="00040000" w:csb1="00000000"/>
  </w:font>
  <w:font w:name="汉仪书宋二繁">
    <w:panose1 w:val="02010609000101010101"/>
    <w:charset w:val="86"/>
    <w:family w:val="auto"/>
    <w:pitch w:val="default"/>
    <w:sig w:usb0="00000001" w:usb1="080E0800" w:usb2="00000002" w:usb3="00000000" w:csb0="00040000" w:csb1="00000000"/>
  </w:font>
  <w:font w:name="汉仪书魂体简">
    <w:panose1 w:val="02010609000101010101"/>
    <w:charset w:val="86"/>
    <w:family w:val="auto"/>
    <w:pitch w:val="default"/>
    <w:sig w:usb0="00000001" w:usb1="080E0800" w:usb2="00000002" w:usb3="00000000" w:csb0="00040000" w:csb1="00000000"/>
  </w:font>
  <w:font w:name="汉仪仿宋简">
    <w:panose1 w:val="02010609000101010101"/>
    <w:charset w:val="86"/>
    <w:family w:val="auto"/>
    <w:pitch w:val="default"/>
    <w:sig w:usb0="00000001" w:usb1="080E0800" w:usb2="00000002" w:usb3="00000000" w:csb0="00040000" w:csb1="00000000"/>
  </w:font>
  <w:font w:name="汉仪咪咪体简">
    <w:panose1 w:val="02010609000101010101"/>
    <w:charset w:val="86"/>
    <w:family w:val="auto"/>
    <w:pitch w:val="default"/>
    <w:sig w:usb0="00000001" w:usb1="080E0800" w:usb2="00000002" w:usb3="00000000" w:csb0="00040000" w:csb1="00000000"/>
  </w:font>
  <w:font w:name="汉仪家书繁">
    <w:panose1 w:val="02010609000101010101"/>
    <w:charset w:val="86"/>
    <w:family w:val="auto"/>
    <w:pitch w:val="default"/>
    <w:sig w:usb0="00000001" w:usb1="080E0800" w:usb2="00000002" w:usb3="00000000" w:csb0="00040000" w:csb1="00000000"/>
  </w:font>
  <w:font w:name="汉仪橄榄体简">
    <w:panose1 w:val="02010609000101010101"/>
    <w:charset w:val="86"/>
    <w:family w:val="auto"/>
    <w:pitch w:val="default"/>
    <w:sig w:usb0="00000001" w:usb1="080E0800" w:usb2="00000002" w:usb3="00000000" w:csb0="00040000" w:csb1="00000000"/>
  </w:font>
  <w:font w:name="汉仪橄榄体繁">
    <w:panose1 w:val="02010609000101010101"/>
    <w:charset w:val="86"/>
    <w:family w:val="auto"/>
    <w:pitch w:val="default"/>
    <w:sig w:usb0="00000001" w:usb1="080E0800" w:usb2="00000002" w:usb3="00000000" w:csb0="00040000" w:csb1="00000000"/>
  </w:font>
  <w:font w:name="汉仪神工体简">
    <w:panose1 w:val="02010609000101010101"/>
    <w:charset w:val="86"/>
    <w:family w:val="auto"/>
    <w:pitch w:val="default"/>
    <w:sig w:usb0="00000001" w:usb1="080E0800" w:usb2="00000002" w:usb3="00000000" w:csb0="00040000" w:csb1="00000000"/>
  </w:font>
  <w:font w:name="汉仪竹节体简">
    <w:panose1 w:val="02010609000101010101"/>
    <w:charset w:val="86"/>
    <w:family w:val="auto"/>
    <w:pitch w:val="default"/>
    <w:sig w:usb0="00000001" w:usb1="080E0800" w:usb2="00000002" w:usb3="00000000" w:csb0="00040000" w:csb1="00000000"/>
  </w:font>
  <w:font w:name="汉仪篆书繁">
    <w:panose1 w:val="02010609000101010101"/>
    <w:charset w:val="86"/>
    <w:family w:val="auto"/>
    <w:pitch w:val="default"/>
    <w:sig w:usb0="00000001" w:usb1="080E0800" w:usb2="00000002" w:usb3="00000000" w:csb0="00040000" w:csb1="00000000"/>
  </w:font>
  <w:font w:name="汉仪粗篆繁">
    <w:panose1 w:val="02010604000101010101"/>
    <w:charset w:val="86"/>
    <w:family w:val="auto"/>
    <w:pitch w:val="default"/>
    <w:sig w:usb0="00000001" w:usb1="080E0800" w:usb2="00000002" w:usb3="00000000" w:csb0="00040000" w:csb1="00000000"/>
  </w:font>
  <w:font w:name="汉仪粗黑简">
    <w:panose1 w:val="02010609000101010101"/>
    <w:charset w:val="86"/>
    <w:family w:val="auto"/>
    <w:pitch w:val="default"/>
    <w:sig w:usb0="00000001" w:usb1="080E0800" w:usb2="00000002" w:usb3="00000000" w:csb0="00040000" w:csb1="00000000"/>
  </w:font>
  <w:font w:name="汉仪细中圆简">
    <w:panose1 w:val="02010609000101010101"/>
    <w:charset w:val="86"/>
    <w:family w:val="auto"/>
    <w:pitch w:val="default"/>
    <w:sig w:usb0="00000001" w:usb1="080E0800" w:usb2="00000002" w:usb3="00000000" w:csb0="00040000" w:csb1="00000000"/>
  </w:font>
  <w:font w:name="汉仪舒同体繁">
    <w:panose1 w:val="02010609000101010101"/>
    <w:charset w:val="86"/>
    <w:family w:val="auto"/>
    <w:pitch w:val="default"/>
    <w:sig w:usb0="00000001" w:usb1="080E0800" w:usb2="00000002" w:usb3="00000000" w:csb0="00040000" w:csb1="00000000"/>
  </w:font>
  <w:font w:name="汉仪花蝶体简">
    <w:panose1 w:val="02010604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汉仪超粗黑繁">
    <w:panose1 w:val="02010609000101010101"/>
    <w:charset w:val="86"/>
    <w:family w:val="auto"/>
    <w:pitch w:val="default"/>
    <w:sig w:usb0="00000001" w:usb1="080E0800" w:usb2="00000002" w:usb3="00000000" w:csb0="00040000" w:csb1="00000000"/>
  </w:font>
  <w:font w:name="汉仪醒示体简">
    <w:panose1 w:val="02010609000101010101"/>
    <w:charset w:val="86"/>
    <w:family w:val="auto"/>
    <w:pitch w:val="default"/>
    <w:sig w:usb0="00000001" w:usb1="080E0800" w:usb2="00000002" w:usb3="00000000" w:csb0="00040000" w:csb1="00000000"/>
  </w:font>
  <w:font w:name="汉仪长美黑繁">
    <w:panose1 w:val="02010609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雪峰体繁">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黑咪体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隶书">
    <w:panose1 w:val="02010509060101010101"/>
    <w:charset w:val="86"/>
    <w:family w:val="auto"/>
    <w:pitch w:val="default"/>
    <w:sig w:usb0="00000001" w:usb1="080E0000" w:usb2="00000000" w:usb3="00000000" w:csb0="00040000" w:csb1="00000000"/>
  </w:font>
  <w:font w:name="叶根友毛笔行书">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1952EF1"/>
    <w:rsid w:val="02424E40"/>
    <w:rsid w:val="039E4D89"/>
    <w:rsid w:val="058835E7"/>
    <w:rsid w:val="0743609E"/>
    <w:rsid w:val="07BA0FF0"/>
    <w:rsid w:val="093647F0"/>
    <w:rsid w:val="0D1E6D8F"/>
    <w:rsid w:val="0E9723DB"/>
    <w:rsid w:val="105156CE"/>
    <w:rsid w:val="11A93F07"/>
    <w:rsid w:val="158D38C3"/>
    <w:rsid w:val="15947191"/>
    <w:rsid w:val="17AC614B"/>
    <w:rsid w:val="1868433B"/>
    <w:rsid w:val="1B120593"/>
    <w:rsid w:val="1C7A2983"/>
    <w:rsid w:val="1DF331C2"/>
    <w:rsid w:val="1E5A5DFB"/>
    <w:rsid w:val="1E706CD4"/>
    <w:rsid w:val="1F346BA8"/>
    <w:rsid w:val="207715F5"/>
    <w:rsid w:val="25DA0429"/>
    <w:rsid w:val="27794652"/>
    <w:rsid w:val="2AEA4032"/>
    <w:rsid w:val="2F05707A"/>
    <w:rsid w:val="39CC2103"/>
    <w:rsid w:val="3BF427BF"/>
    <w:rsid w:val="3E06035D"/>
    <w:rsid w:val="41832ADF"/>
    <w:rsid w:val="41F915CF"/>
    <w:rsid w:val="446B6432"/>
    <w:rsid w:val="4704693B"/>
    <w:rsid w:val="4FF173D0"/>
    <w:rsid w:val="4FF7112C"/>
    <w:rsid w:val="5018700B"/>
    <w:rsid w:val="53932400"/>
    <w:rsid w:val="5845420F"/>
    <w:rsid w:val="5B9D1845"/>
    <w:rsid w:val="64946B3C"/>
    <w:rsid w:val="6A083084"/>
    <w:rsid w:val="6B8D4935"/>
    <w:rsid w:val="724C455E"/>
    <w:rsid w:val="727E783A"/>
    <w:rsid w:val="738D138D"/>
    <w:rsid w:val="74350957"/>
    <w:rsid w:val="75EC3B18"/>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sheji</cp:lastModifiedBy>
  <dcterms:modified xsi:type="dcterms:W3CDTF">2017-02-15T03:53:36Z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