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ind w:firstLine="31680" w:firstLineChars="200"/>
        <w:rPr>
          <w:rFonts w:ascii="宋体"/>
          <w:sz w:val="32"/>
          <w:szCs w:val="32"/>
        </w:rPr>
      </w:pPr>
    </w:p>
    <w:p>
      <w:pPr>
        <w:adjustRightInd w:val="0"/>
        <w:snapToGrid w:val="0"/>
        <w:spacing w:line="580" w:lineRule="exact"/>
        <w:ind w:firstLine="31680" w:firstLineChars="200"/>
        <w:rPr>
          <w:rFonts w:ascii="宋体"/>
          <w:sz w:val="32"/>
          <w:szCs w:val="32"/>
        </w:rPr>
      </w:pPr>
    </w:p>
    <w:p>
      <w:pPr>
        <w:adjustRightInd w:val="0"/>
        <w:snapToGrid w:val="0"/>
        <w:spacing w:line="580" w:lineRule="exact"/>
        <w:jc w:val="center"/>
        <w:rPr>
          <w:rFonts w:ascii="宋体"/>
          <w:sz w:val="44"/>
          <w:szCs w:val="44"/>
        </w:rPr>
      </w:pPr>
      <w:r>
        <w:rPr>
          <w:rFonts w:hint="eastAsia" w:ascii="宋体" w:hAnsi="宋体"/>
          <w:sz w:val="44"/>
          <w:szCs w:val="44"/>
        </w:rPr>
        <w:t>四川省技术市场条例</w:t>
      </w:r>
    </w:p>
    <w:p>
      <w:pPr>
        <w:adjustRightInd w:val="0"/>
        <w:snapToGrid w:val="0"/>
        <w:spacing w:line="580" w:lineRule="exact"/>
        <w:rPr>
          <w:rFonts w:ascii="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ascii="仿宋_GB2312" w:eastAsia="仿宋_GB2312"/>
          <w:sz w:val="32"/>
          <w:szCs w:val="32"/>
        </w:rPr>
      </w:pPr>
      <w:r>
        <w:rPr>
          <w:rFonts w:hint="eastAsia" w:ascii="楷体_GB2312" w:hAnsi="楷体_GB2312" w:eastAsia="楷体_GB2312" w:cs="楷体_GB2312"/>
          <w:sz w:val="32"/>
          <w:szCs w:val="32"/>
          <w:lang w:val="en-US" w:eastAsia="zh-CN"/>
        </w:rPr>
        <w:t>（2005年4月6日四川省第十届人民代表大会常务委员会第十四次会议通过）</w:t>
      </w:r>
    </w:p>
    <w:p>
      <w:pPr>
        <w:adjustRightInd w:val="0"/>
        <w:snapToGrid w:val="0"/>
        <w:spacing w:line="580" w:lineRule="exact"/>
        <w:rPr>
          <w:rFonts w:ascii="宋体"/>
          <w:sz w:val="32"/>
          <w:szCs w:val="32"/>
        </w:rPr>
      </w:pP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为规范技术交易行为，繁荣技术市场，保障技术交易人的合法权益，促进科技成果转化，促进技术进步和经济发展，根据国家有关法律、法规，结合四川省实际，制定本条例。</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自然人和法人及其他组织在四川省行政区域内从事技术交易及其服务活动，适用本条例。</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本条例所称技术交易，包括技术开发、技术转让、专利许可、技术咨询、技术服务、技术</w:t>
      </w:r>
      <w:r>
        <w:rPr>
          <w:rFonts w:hint="eastAsia" w:ascii="仿宋_GB2312" w:eastAsia="仿宋_GB2312"/>
          <w:sz w:val="32"/>
          <w:szCs w:val="32"/>
          <w:lang w:val="en-US" w:eastAsia="zh-CN"/>
        </w:rPr>
        <w:t>入</w:t>
      </w:r>
      <w:r>
        <w:rPr>
          <w:rFonts w:hint="eastAsia" w:ascii="仿宋_GB2312" w:eastAsia="仿宋_GB2312"/>
          <w:sz w:val="32"/>
          <w:szCs w:val="32"/>
        </w:rPr>
        <w:t>股、技术承包等活动。</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本条例所称技术交易服务，包括提供技术交易信息、场所、网站，技术经纪、技术评估、技术招标、技术拍卖、技术交易咨询、技术产权转让中介、技术产权使用许可中介等活动。</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鼓励兴办技术交易中介服务机构和行业自律组织，扶持技术交易，促进技术市场健康发展。</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县级以上人民政府科学技术行政部门负责本行政区域内技术市场监督、协调、服务工作。</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工商行政管理、财政、税务、知识产权、质监等有关部门在各自的职责范围内做好技术市场管理工作。</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市场交易的技术应当有利于开发新产品、新工艺、新设备</w:t>
      </w:r>
      <w:r>
        <w:rPr>
          <w:rFonts w:hint="eastAsia" w:ascii="仿宋_GB2312" w:eastAsia="仿宋_GB2312"/>
          <w:sz w:val="32"/>
          <w:szCs w:val="32"/>
          <w:lang w:eastAsia="zh-CN"/>
        </w:rPr>
        <w:t>；</w:t>
      </w:r>
      <w:r>
        <w:rPr>
          <w:rFonts w:hint="eastAsia" w:ascii="仿宋_GB2312" w:eastAsia="仿宋_GB2312"/>
          <w:sz w:val="32"/>
          <w:szCs w:val="32"/>
        </w:rPr>
        <w:t>有利于改造传统产业，节能、降耗，提高劳动生产率和产品质量</w:t>
      </w:r>
      <w:r>
        <w:rPr>
          <w:rFonts w:hint="eastAsia" w:ascii="仿宋_GB2312" w:eastAsia="仿宋_GB2312"/>
          <w:sz w:val="32"/>
          <w:szCs w:val="32"/>
          <w:lang w:eastAsia="zh-CN"/>
        </w:rPr>
        <w:t>；</w:t>
      </w:r>
      <w:r>
        <w:rPr>
          <w:rFonts w:hint="eastAsia" w:ascii="仿宋_GB2312" w:eastAsia="仿宋_GB2312"/>
          <w:sz w:val="32"/>
          <w:szCs w:val="32"/>
        </w:rPr>
        <w:t>有利于资源综合利用、环境保护、改善劳动条件，提高经济效益和社会效益。</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技术交易活动应当遵循合法、自愿、平等、诚实信用的原则。提供技术的一方对所提供技术及其产权归属的合法性、真实性负责</w:t>
      </w:r>
      <w:r>
        <w:rPr>
          <w:rFonts w:hint="eastAsia" w:ascii="仿宋_GB2312" w:eastAsia="仿宋_GB2312"/>
          <w:sz w:val="32"/>
          <w:szCs w:val="32"/>
          <w:lang w:eastAsia="zh-CN"/>
        </w:rPr>
        <w:t>；</w:t>
      </w:r>
      <w:r>
        <w:rPr>
          <w:rFonts w:hint="eastAsia" w:ascii="仿宋_GB2312" w:eastAsia="仿宋_GB2312"/>
          <w:sz w:val="32"/>
          <w:szCs w:val="32"/>
        </w:rPr>
        <w:t>接受技术的一方按照合同约定履行义务</w:t>
      </w:r>
      <w:r>
        <w:rPr>
          <w:rFonts w:hint="eastAsia" w:ascii="仿宋_GB2312" w:eastAsia="仿宋_GB2312"/>
          <w:sz w:val="32"/>
          <w:szCs w:val="32"/>
          <w:lang w:eastAsia="zh-CN"/>
        </w:rPr>
        <w:t>；</w:t>
      </w:r>
      <w:r>
        <w:rPr>
          <w:rFonts w:hint="eastAsia" w:ascii="仿宋_GB2312" w:eastAsia="仿宋_GB2312"/>
          <w:sz w:val="32"/>
          <w:szCs w:val="32"/>
        </w:rPr>
        <w:t>中介方保证所提供信息的真实性和来源的合法性。</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第八条</w:t>
      </w:r>
      <w:r>
        <w:rPr>
          <w:rFonts w:ascii="仿宋_GB2312" w:eastAsia="仿宋_GB2312"/>
          <w:sz w:val="32"/>
          <w:szCs w:val="32"/>
        </w:rPr>
        <w:t xml:space="preserve">  </w:t>
      </w:r>
      <w:r>
        <w:rPr>
          <w:rFonts w:hint="eastAsia" w:ascii="仿宋_GB2312" w:eastAsia="仿宋_GB2312"/>
          <w:sz w:val="32"/>
          <w:szCs w:val="32"/>
        </w:rPr>
        <w:t>市场交易的技术涉及国家安全、国家秘密或者国家重大利益需要保密的，按国家有关规定执行。</w:t>
      </w:r>
    </w:p>
    <w:p>
      <w:pPr>
        <w:adjustRightInd w:val="0"/>
        <w:snapToGrid w:val="0"/>
        <w:spacing w:line="580" w:lineRule="exact"/>
        <w:ind w:firstLine="31680" w:firstLineChars="200"/>
        <w:rPr>
          <w:rFonts w:hint="eastAsia" w:ascii="仿宋_GB2312" w:eastAsia="仿宋_GB2312"/>
          <w:sz w:val="32"/>
          <w:szCs w:val="32"/>
          <w:lang w:eastAsia="zh-CN"/>
        </w:rPr>
      </w:pPr>
      <w:r>
        <w:rPr>
          <w:rFonts w:hint="eastAsia" w:ascii="黑体" w:hAns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在技术交易活动中禁止下列行为</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（一）侵犯他人知识产权、技术权益</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（二）提供虚假技术信息、检测结果和评估报告</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（三）串通招标、投标</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（四）以欺诈、胁迫等手段签订技术合同</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（五）损害国家利益、社会公共利益</w:t>
      </w:r>
      <w:r>
        <w:rPr>
          <w:rFonts w:hint="eastAsia" w:ascii="仿宋_GB2312" w:eastAsia="仿宋_GB2312"/>
          <w:sz w:val="32"/>
          <w:szCs w:val="32"/>
          <w:lang w:eastAsia="zh-CN"/>
        </w:rPr>
        <w:t>；</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（六）法律、法规禁止的其他行为。</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第十条</w:t>
      </w:r>
      <w:r>
        <w:rPr>
          <w:rFonts w:ascii="仿宋_GB2312" w:eastAsia="仿宋_GB2312"/>
          <w:sz w:val="32"/>
          <w:szCs w:val="32"/>
        </w:rPr>
        <w:t xml:space="preserve">  </w:t>
      </w:r>
      <w:r>
        <w:rPr>
          <w:rFonts w:hint="eastAsia" w:ascii="仿宋_GB2312" w:eastAsia="仿宋_GB2312"/>
          <w:sz w:val="32"/>
          <w:szCs w:val="32"/>
        </w:rPr>
        <w:t>技术价款、技术交易服务费由当事人协商确定。</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第十一条</w:t>
      </w:r>
      <w:r>
        <w:rPr>
          <w:rFonts w:ascii="仿宋_GB2312" w:eastAsia="仿宋_GB2312"/>
          <w:sz w:val="32"/>
          <w:szCs w:val="32"/>
        </w:rPr>
        <w:t xml:space="preserve">  </w:t>
      </w:r>
      <w:r>
        <w:rPr>
          <w:rFonts w:hint="eastAsia" w:ascii="仿宋_GB2312" w:eastAsia="仿宋_GB2312"/>
          <w:sz w:val="32"/>
          <w:szCs w:val="32"/>
        </w:rPr>
        <w:t>技术交易当事人应当依法订立技术合同。</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技术合同认定登记按照自愿原则，实行一次登记制度。</w:t>
      </w:r>
    </w:p>
    <w:p>
      <w:pPr>
        <w:adjustRightInd w:val="0"/>
        <w:snapToGrid w:val="0"/>
        <w:spacing w:line="580" w:lineRule="exact"/>
        <w:ind w:firstLine="628" w:firstLineChars="200"/>
        <w:rPr>
          <w:rFonts w:ascii="仿宋_GB2312" w:eastAsia="仿宋_GB2312"/>
          <w:sz w:val="32"/>
          <w:szCs w:val="32"/>
        </w:rPr>
      </w:pPr>
      <w:r>
        <w:rPr>
          <w:rFonts w:hint="eastAsia" w:ascii="仿宋_GB2312" w:eastAsia="仿宋_GB2312"/>
          <w:sz w:val="32"/>
          <w:szCs w:val="32"/>
        </w:rPr>
        <w:t>申请技术合同认定登记的，当事人应当持合同原件向技术合同认定登记机构提出。技术合同认定登记机构按照有关规定进行审查，在收到申请之日起</w:t>
      </w:r>
      <w:r>
        <w:rPr>
          <w:rFonts w:ascii="仿宋_GB2312" w:eastAsia="仿宋_GB2312"/>
          <w:sz w:val="32"/>
          <w:szCs w:val="32"/>
        </w:rPr>
        <w:t>15</w:t>
      </w:r>
      <w:r>
        <w:rPr>
          <w:rFonts w:hint="eastAsia" w:ascii="仿宋_GB2312" w:eastAsia="仿宋_GB2312"/>
          <w:sz w:val="32"/>
          <w:szCs w:val="32"/>
        </w:rPr>
        <w:t>日内，对符合认定登记条件的予以认定登记并出具认定登记证明</w:t>
      </w:r>
      <w:r>
        <w:rPr>
          <w:rFonts w:hint="eastAsia" w:ascii="仿宋_GB2312" w:eastAsia="仿宋_GB2312"/>
          <w:sz w:val="32"/>
          <w:szCs w:val="32"/>
          <w:lang w:eastAsia="zh-CN"/>
        </w:rPr>
        <w:t>；</w:t>
      </w:r>
      <w:r>
        <w:rPr>
          <w:rFonts w:hint="eastAsia" w:ascii="仿宋_GB2312" w:eastAsia="仿宋_GB2312"/>
          <w:sz w:val="32"/>
          <w:szCs w:val="32"/>
        </w:rPr>
        <w:t>对不符合认定登记条件的不予认定登记并书面说明理由。当事人对不予认定登记有异议的，可以向科学技术行政部门申请复核，科学技术行政部门应当及时作出复核决定。对复核决定不服的，可以依法申请行政复议或者提起行政诉讼。</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技术合同认定登记由行业组织或者科技中介机构承担。</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技术合同认定登记机构应当为登记人保守技术秘密和商业秘密。</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技术合同认定登记按照物价部门核定的收费标准收费。</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技术合同认定登记办法和认定登记机构的管理办法，由省人民政府制定。</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第十三条</w:t>
      </w:r>
      <w:r>
        <w:rPr>
          <w:rFonts w:ascii="仿宋_GB2312" w:eastAsia="仿宋_GB2312"/>
          <w:sz w:val="32"/>
          <w:szCs w:val="32"/>
        </w:rPr>
        <w:t xml:space="preserve">  </w:t>
      </w:r>
      <w:r>
        <w:rPr>
          <w:rFonts w:hint="eastAsia" w:ascii="仿宋_GB2312" w:eastAsia="仿宋_GB2312"/>
          <w:sz w:val="32"/>
          <w:szCs w:val="32"/>
        </w:rPr>
        <w:t>申请国家税收优惠的技术交易应当经技术合同认定登记。</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设立技术交易中介服务机构应当依法登记，并报所在地人民政府科技行政部门备案。</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技术经纪人应当按国家有关规定具备相应从业资格，遵守国家有关经纪活动管理规定。</w:t>
      </w:r>
    </w:p>
    <w:p>
      <w:pPr>
        <w:adjustRightInd w:val="0"/>
        <w:snapToGrid w:val="0"/>
        <w:spacing w:line="580" w:lineRule="exact"/>
        <w:ind w:firstLine="31680" w:firstLineChars="200"/>
        <w:rPr>
          <w:rFonts w:ascii="仿宋_GB2312" w:eastAsia="仿宋_GB2312"/>
          <w:sz w:val="32"/>
          <w:szCs w:val="32"/>
        </w:rPr>
      </w:pPr>
      <w:r>
        <w:rPr>
          <w:rFonts w:hint="eastAsia" w:ascii="仿宋_GB2312" w:eastAsia="仿宋_GB2312"/>
          <w:sz w:val="32"/>
          <w:szCs w:val="32"/>
        </w:rPr>
        <w:t>技术经纪人在经纪活动中应当将订约机会和交易情况如实、及时地提供给当事人各方，真实反映当事人各方的履约能力、知识产权情况，按照约定为当事人保守商业秘密，协调技术合同的履行。</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从境外引进技术所订立的合同，按照国家有关规定享受税收优惠。</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对在技术交易项目实施、促进技术成果商品化、资本化及技术市场监督、服务工作中做出显著成绩的单位和个人，由各级人民政府或者有关部门给予表彰、奖励。</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第十八条</w:t>
      </w:r>
      <w:r>
        <w:rPr>
          <w:rFonts w:ascii="仿宋_GB2312" w:eastAsia="仿宋_GB2312"/>
          <w:sz w:val="32"/>
          <w:szCs w:val="32"/>
        </w:rPr>
        <w:t xml:space="preserve">  </w:t>
      </w:r>
      <w:r>
        <w:rPr>
          <w:rFonts w:hint="eastAsia" w:ascii="仿宋_GB2312" w:eastAsia="仿宋_GB2312"/>
          <w:sz w:val="32"/>
          <w:szCs w:val="32"/>
        </w:rPr>
        <w:t>违反本条例第八条、第九条规定的，由有关部门依法处理。</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第十九条</w:t>
      </w:r>
      <w:r>
        <w:rPr>
          <w:rFonts w:ascii="仿宋_GB2312" w:eastAsia="仿宋_GB2312"/>
          <w:sz w:val="32"/>
          <w:szCs w:val="32"/>
        </w:rPr>
        <w:t xml:space="preserve">  </w:t>
      </w:r>
      <w:r>
        <w:rPr>
          <w:rFonts w:hint="eastAsia" w:ascii="仿宋_GB2312" w:eastAsia="仿宋_GB2312"/>
          <w:sz w:val="32"/>
          <w:szCs w:val="32"/>
        </w:rPr>
        <w:t>技术交易中介服务机构违反本条例第十四条规定的，由主管登记的行政机关依法处理。</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在技术交易或者技术交易服务活动中从事诈骗或者其他违法活动的，由工商行政管理部门、公安机关依法查处。构成犯罪的，依法追究刑事责任。</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第二十一条</w:t>
      </w:r>
      <w:r>
        <w:rPr>
          <w:rFonts w:ascii="仿宋_GB2312" w:eastAsia="仿宋_GB2312"/>
          <w:sz w:val="32"/>
          <w:szCs w:val="32"/>
        </w:rPr>
        <w:t xml:space="preserve">  </w:t>
      </w:r>
      <w:r>
        <w:rPr>
          <w:rFonts w:hint="eastAsia" w:ascii="仿宋_GB2312" w:eastAsia="仿宋_GB2312"/>
          <w:sz w:val="32"/>
          <w:szCs w:val="32"/>
        </w:rPr>
        <w:t>国家工作人员在技术市场监督、管理、服务工作中</w:t>
      </w:r>
      <w:r>
        <w:rPr>
          <w:rFonts w:hint="eastAsia" w:ascii="仿宋_GB2312" w:eastAsia="仿宋_GB2312"/>
          <w:sz w:val="32"/>
          <w:szCs w:val="32"/>
          <w:lang w:val="en-US" w:eastAsia="zh-CN"/>
        </w:rPr>
        <w:t>徇私</w:t>
      </w:r>
      <w:bookmarkStart w:id="0" w:name="_GoBack"/>
      <w:bookmarkEnd w:id="0"/>
      <w:r>
        <w:rPr>
          <w:rFonts w:hint="eastAsia" w:ascii="仿宋_GB2312" w:eastAsia="仿宋_GB2312"/>
          <w:sz w:val="32"/>
          <w:szCs w:val="32"/>
        </w:rPr>
        <w:t>舞弊、收受贿赂、玩忽职守、滥用职权的，由有关部门给予行政处分</w:t>
      </w:r>
      <w:r>
        <w:rPr>
          <w:rFonts w:hint="eastAsia" w:ascii="仿宋_GB2312" w:eastAsia="仿宋_GB2312"/>
          <w:sz w:val="32"/>
          <w:szCs w:val="32"/>
          <w:lang w:eastAsia="zh-CN"/>
        </w:rPr>
        <w:t>；</w:t>
      </w:r>
      <w:r>
        <w:rPr>
          <w:rFonts w:hint="eastAsia" w:ascii="仿宋_GB2312" w:eastAsia="仿宋_GB2312"/>
          <w:sz w:val="32"/>
          <w:szCs w:val="32"/>
        </w:rPr>
        <w:t>构成犯罪的，依法追究刑事责任。</w:t>
      </w:r>
    </w:p>
    <w:p>
      <w:pPr>
        <w:adjustRightInd w:val="0"/>
        <w:snapToGrid w:val="0"/>
        <w:spacing w:line="580" w:lineRule="exact"/>
        <w:ind w:firstLine="31680" w:firstLineChars="200"/>
        <w:rPr>
          <w:rFonts w:ascii="仿宋_GB2312" w:eastAsia="仿宋_GB2312"/>
          <w:sz w:val="32"/>
          <w:szCs w:val="32"/>
        </w:rPr>
      </w:pPr>
      <w:r>
        <w:rPr>
          <w:rFonts w:hint="eastAsia" w:ascii="黑体" w:hAnsi="黑体" w:eastAsia="黑体"/>
          <w:sz w:val="32"/>
          <w:szCs w:val="32"/>
        </w:rPr>
        <w:t>第二十二条</w:t>
      </w:r>
      <w:r>
        <w:rPr>
          <w:rFonts w:ascii="仿宋_GB2312" w:eastAsia="仿宋_GB2312"/>
          <w:sz w:val="32"/>
          <w:szCs w:val="32"/>
        </w:rPr>
        <w:t xml:space="preserve">  </w:t>
      </w:r>
      <w:r>
        <w:rPr>
          <w:rFonts w:hint="eastAsia" w:ascii="仿宋_GB2312" w:eastAsia="仿宋_GB2312"/>
          <w:sz w:val="32"/>
          <w:szCs w:val="32"/>
        </w:rPr>
        <w:t>本条例自</w:t>
      </w:r>
      <w:r>
        <w:rPr>
          <w:rFonts w:ascii="仿宋_GB2312" w:eastAsia="仿宋_GB2312"/>
          <w:sz w:val="32"/>
          <w:szCs w:val="32"/>
        </w:rPr>
        <w:t>2005</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r>
        <w:rPr>
          <w:rFonts w:ascii="仿宋_GB2312" w:eastAsia="仿宋_GB2312"/>
          <w:sz w:val="32"/>
          <w:szCs w:val="32"/>
        </w:rPr>
        <w:t>1991</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18</w:t>
      </w:r>
      <w:r>
        <w:rPr>
          <w:rFonts w:hint="eastAsia" w:ascii="仿宋_GB2312" w:eastAsia="仿宋_GB2312"/>
          <w:sz w:val="32"/>
          <w:szCs w:val="32"/>
        </w:rPr>
        <w:t>日施行、</w:t>
      </w:r>
      <w:r>
        <w:rPr>
          <w:rFonts w:ascii="仿宋_GB2312" w:eastAsia="仿宋_GB2312"/>
          <w:sz w:val="32"/>
          <w:szCs w:val="32"/>
        </w:rPr>
        <w:t>2002</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日修正的《四川省技术市场管理条例》同时废止。</w:t>
      </w:r>
    </w:p>
    <w:p>
      <w:pPr>
        <w:adjustRightInd w:val="0"/>
        <w:snapToGrid w:val="0"/>
        <w:spacing w:line="580" w:lineRule="exact"/>
        <w:ind w:firstLine="31680" w:firstLineChars="200"/>
        <w:rPr>
          <w:rFonts w:ascii="仿宋_GB2312" w:eastAsia="仿宋_GB2312"/>
          <w:sz w:val="32"/>
          <w:szCs w:val="32"/>
        </w:rPr>
      </w:pPr>
    </w:p>
    <w:p>
      <w:pPr>
        <w:adjustRightInd w:val="0"/>
        <w:snapToGrid w:val="0"/>
        <w:spacing w:line="580" w:lineRule="exact"/>
        <w:ind w:firstLine="31680" w:firstLineChars="200"/>
        <w:rPr>
          <w:rFonts w:ascii="仿宋_GB2312" w:eastAsia="仿宋_GB2312"/>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p>
  <w:p>
    <w:pPr>
      <w:pStyle w:val="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3"/>
      <w:rPr>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0B18A6"/>
    <w:rsid w:val="002C03B5"/>
    <w:rsid w:val="00300A38"/>
    <w:rsid w:val="0036387B"/>
    <w:rsid w:val="003E5A54"/>
    <w:rsid w:val="004A3D93"/>
    <w:rsid w:val="00587CBA"/>
    <w:rsid w:val="006B0A84"/>
    <w:rsid w:val="00713EA3"/>
    <w:rsid w:val="0075573A"/>
    <w:rsid w:val="00800613"/>
    <w:rsid w:val="00874324"/>
    <w:rsid w:val="00A8110B"/>
    <w:rsid w:val="00B35C95"/>
    <w:rsid w:val="00BC1052"/>
    <w:rsid w:val="00D259DC"/>
    <w:rsid w:val="00DD300B"/>
    <w:rsid w:val="00F177BD"/>
    <w:rsid w:val="058567CA"/>
    <w:rsid w:val="0AC93F59"/>
    <w:rsid w:val="12CC1869"/>
    <w:rsid w:val="195630ED"/>
    <w:rsid w:val="2F6C3C0D"/>
    <w:rsid w:val="2FF70AF9"/>
    <w:rsid w:val="30123A2C"/>
    <w:rsid w:val="34DD7FA0"/>
    <w:rsid w:val="365A1572"/>
    <w:rsid w:val="39C774A2"/>
    <w:rsid w:val="475F2A4A"/>
    <w:rsid w:val="4C490484"/>
    <w:rsid w:val="4CE26855"/>
    <w:rsid w:val="4DEA368F"/>
    <w:rsid w:val="5422390A"/>
    <w:rsid w:val="57C34C0A"/>
    <w:rsid w:val="5B365574"/>
    <w:rsid w:val="6635372F"/>
    <w:rsid w:val="762128FA"/>
    <w:rsid w:val="79382B69"/>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Footer Char"/>
    <w:basedOn w:val="5"/>
    <w:link w:val="3"/>
    <w:locked/>
    <w:uiPriority w:val="99"/>
    <w:rPr>
      <w:rFonts w:cs="Times New Roman"/>
      <w:sz w:val="18"/>
      <w:szCs w:val="18"/>
    </w:rPr>
  </w:style>
  <w:style w:type="character" w:customStyle="1" w:styleId="8">
    <w:name w:val="Header Char"/>
    <w:basedOn w:val="5"/>
    <w:link w:val="4"/>
    <w:locked/>
    <w:uiPriority w:val="99"/>
    <w:rPr>
      <w:rFonts w:cs="Times New Roman"/>
      <w:sz w:val="18"/>
      <w:szCs w:val="18"/>
    </w:rPr>
  </w:style>
  <w:style w:type="paragraph" w:customStyle="1" w:styleId="9">
    <w:name w:val="列出段落1"/>
    <w:basedOn w:val="1"/>
    <w:uiPriority w:val="99"/>
    <w:pPr>
      <w:ind w:firstLine="420" w:firstLineChars="200"/>
    </w:pPr>
  </w:style>
  <w:style w:type="character" w:customStyle="1" w:styleId="10">
    <w:name w:val="Balloon Text Char"/>
    <w:basedOn w:val="5"/>
    <w:link w:val="2"/>
    <w:semiHidden/>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274</Words>
  <Characters>1565</Characters>
  <Lines>0</Lines>
  <Paragraphs>0</Paragraphs>
  <ScaleCrop>false</ScaleCrop>
  <LinksUpToDate>false</LinksUpToDate>
  <CharactersWithSpaces>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2017-03-09T12:15:43Z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