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四川省气象灾害防御条例</w:t>
      </w:r>
    </w:p>
    <w:p>
      <w:pPr>
        <w:adjustRightInd w:val="0"/>
        <w:snapToGrid w:val="0"/>
        <w:spacing w:line="580" w:lineRule="exact"/>
        <w:jc w:val="center"/>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eastAsia="楷体_GB2312" w:hAnsiTheme="majorEastAsia"/>
          <w:sz w:val="32"/>
          <w:szCs w:val="32"/>
          <w:lang w:val="en-US" w:eastAsia="zh-CN"/>
        </w:rPr>
      </w:pPr>
      <w:r>
        <w:rPr>
          <w:rFonts w:hint="eastAsia" w:ascii="楷体_GB2312" w:eastAsia="楷体_GB2312" w:hAnsiTheme="majorEastAsia"/>
          <w:sz w:val="32"/>
          <w:szCs w:val="32"/>
          <w:lang w:val="en-US" w:eastAsia="zh-CN"/>
        </w:rPr>
        <w:t>（2006年3月31日四川省第十届人民代表大会常务委员会第二十次会议通过）</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numPr>
          <w:ilvl w:val="0"/>
          <w:numId w:val="1"/>
        </w:numPr>
        <w:adjustRightInd w:val="0"/>
        <w:snapToGrid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numPr>
          <w:ilvl w:val="0"/>
          <w:numId w:val="0"/>
        </w:numPr>
        <w:adjustRightInd w:val="0"/>
        <w:snapToGrid w:val="0"/>
        <w:spacing w:line="580" w:lineRule="exact"/>
        <w:jc w:val="both"/>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为了防御气象灾害，保障人民生命财产安全，促进经济社会发展，根据《中华人民共和国气象法》及其他法律、行政法规的有关规定，结合四川省实际，制定本条例。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在四川省行政区域内从事气象灾害防御活动，应当遵守本条例。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条例所称气象灾害，是指暴雨、暴雪、寒潮、大风、沙尘暴、低温、高温、干早、雷电、冰雹、大雾、灰霾、冰冻、霜冻、连阴雨等直接造成的灾害，以及由此引发的洪涝灾害、地质灾害、植物病虫害、森林火灾、草原火灾、环境污染、流行疫情等气象次生灾害。</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气象灾害防御工作，应当坚持预防为主、统筹规划、综合防治的原则。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县级以上人民政府应当加强对气象灾害防御工作的领导，建立健全气象灾害防御指挥协调机制，编制预案，将气象灾害防御工作纳入本级国民经济和社会发展计划，所需经费纳人同级财政预算。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各级气象主管机构负责组织本行政区域内灾害性天气、气候的监测、预报、预警和重大气象灾害评估，依法组织气候可行性论证，开展人工影响天气、雷电灾害防御等工作。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农业、林业、水利、国土资源、民政、卫生、环保、畜牧、救灾等有关部门按照职责分工做好气象次生灾害的监测、预警、防御工作。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鼓励和支持气象灾害防御科学技术研究，推广先进的气象灾害防御技术，宣传气象灾害防御知识。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在气象灾害防御工作中做出突出贡献的单位和个人，由人民政府给予表彰奖励。</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规划与建设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县级以上人民政府应当组织气象主管机构和其他有关部门编制气象灾害防御规划。</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气象灾害防御规划主要内容是：</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（一）气象灾害现状、趋势预测和评估；</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（二）气象灾害防御原则、目标；</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（三）气象灾害易发区、重点防御区；</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（四）气象灾害防御的主要任务和方案；</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（五）气象灾害防御设施建设项目；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（六）气象灾害防御的保障措施。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编制土地利用总体规划、城市规划和区域、流域的建设开发利用规划，以及农业、林业、水利、交通、旅游等专业规划，应当适应气象灾害防御的要求。</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县级以上人民政府应当加强气象灾害监测预警系统、预警信息传播系统和应急气象服务系统等气象灾害防御基础设施的建设，具体建设方案由各级气象主管机构会同有关部门编</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制，报同级人民政府批准后实施。</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监测与预报</w:t>
      </w:r>
    </w:p>
    <w:p>
      <w:pPr>
        <w:adjustRightInd w:val="0"/>
        <w:snapToGrid w:val="0"/>
        <w:spacing w:line="580" w:lineRule="exact"/>
        <w:ind w:firstLine="626" w:firstLineChars="200"/>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县级以上人民政府应当组织气象、农业、林业、水利、国土资源、卫生、环保、畜牧等有关部门、单位建立气象灾害监测信息共享平台。</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气象主管机构负责气象灾害监测信息的共享工作。各部门、单位要充分利用气象灾害监测信息共享平台，按照各自职责提供雨情、水文、旱情、森林火险、草原火险、地质险情、植物病虫害、环境污染、流行疫情等与气象灾害有关的监测信息，并相互及时通报预报、预警信息。</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各级气象主管机构应当组织对重大灾害性天气、气候的跨地区、跨部门的联合监测、预报工作，及时、准确作出预报、警报，提高服务水平。</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灾害性天气的预报、警报，由各级气象主管机构所属的气象台站按照职责通过当地主要媒体向社会发布，并根据天气变化情况及时补充或者订正。其他任何组织或者个人不得向社会发布灾害性天气预报、警报。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气象主管机构所属的气象台站作出的灾害性天气预报、警报，应当立即报告当地人民政府和上级气象主管机构，并通报有关部门。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广播、电视、报纸、通信、信息网络等媒体收到气象主管机构所属的气象台站要求播发的灾害性天气预报、警报信息后，应当及时无偿地向公众传播；对重大灾害性天气的补充、订正预报，有关媒体应当及时无偿地增播或者插播。</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乡镇人民政府、街道办事处在收到气象台站发布的灾害性天气警报后，应当采取措施向本辖区公众广泛传播。</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机场、港口、车站、高速公路、旅游景点等的管理单位应当采取措施及时向公众传播灾害性天气预报、警报信息。</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灾害性天气警报实行预警信号发布制度。灾害性天气预警信号和防御指南，由省人民政府规定。</w:t>
      </w:r>
    </w:p>
    <w:p>
      <w:pPr>
        <w:adjustRightInd w:val="0"/>
        <w:snapToGrid w:val="0"/>
        <w:spacing w:line="580" w:lineRule="exact"/>
        <w:ind w:firstLine="626" w:firstLineChars="20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灾害应急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县级以上人民政府应当组织有关部门制定重大气象灾害防御应急预案，建立由政府组织协调、各部门分工负责的气象灾害应急机制和预警应急系统。</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在气象主管机构所属的气象台站发布重大灾害性天气预报、警报后，有关人民政府应当适时启动并组织实施重大气象灾害防御应急预案，有关部门和组织按照应急预案的分工做好相应的应急工作。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重大气象灾害发生地的公民、法人和其他组织可以依照省人民政府发布的防御指南，自主选择适当的防御措施避险。情况紧急时，当地人民政府、基层群众自治组织和企业、学校等应当及时动员并组织受到灾害威胁的人员转移、疏散。</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重大气象灾害发生过程中，当地气象主管机构应当组织所属台站加强对灾害性天气的跟踪监测，及时向当地人民政府和有关部门报告天气实况和趋势。有关人民政府和部门应当</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根据相关情况，迅速采取科学、有效的防御措施，避免或者减轻气象灾害损失。</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气象主管机构应当对本行政区域内发生的重大气象灾害及时作出评估，为本级人民政府组织防灾、减灾提供决策依据。</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adjustRightInd w:val="0"/>
        <w:snapToGrid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防御措施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城市规划、国家重点建设工程、重大区域性经济开发、大中型农业综合开发项目和大型太阳能、风能、云水等气候资源开发利用项目的可行性论证报告中，应当有气象主管机构出具的气候可行性论证报告。气候可行性论证报告作为有关人民政府、部门决策的依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上述项目主管部门或者单位应当向有关气象主管机构提供开展该项目气候可行性论证所需的必要资料。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县级以上人民政府应当充分发挥人工影响天气在气象灾害防御中的作用，建立健全人工影响天气应急作业机制，并提供相应的条件。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干旱、冰雹、森林火灾频发区和城市供水、工农业用水紧缺地区的水源地及其上游地区，县级以上人民政府应当在灾情出现之前及早安排有关气象主管机构组织实施人工影响天气作业，预防和避免发生严重灾情。</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各级气象主管机构应当会同有关部门建立雷电灾害监测预警系统，提高雷电灾害监测预报水平，加强对雷电灾害防御工作的管理指导，做好雷电灾害的调查、鉴定工作。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按照国家和省的有关规定应当安装雷电灾害防护装置的建筑物、构筑物和其他设施，其雷电灾害防护装置应当与主体工程同时设计、同时施工，并经气象主管机构验收合格后方可投入使用。</w:t>
      </w:r>
    </w:p>
    <w:p>
      <w:pPr>
        <w:adjustRightInd w:val="0"/>
        <w:snapToGrid w:val="0"/>
        <w:spacing w:line="580" w:lineRule="exact"/>
        <w:ind w:firstLine="626" w:firstLineChars="20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adjustRightInd w:val="0"/>
        <w:snapToGrid w:val="0"/>
        <w:spacing w:line="580" w:lineRule="exact"/>
        <w:ind w:firstLine="626"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违反本条例规定，有下列行为之一的，由气象主管机构按照职责权限责令改正，给予警告，可并处5万元以下的罚款：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（一）非法向社会发布气象灾害预报、警报或灾害性天气预警信号的；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（二）广播、电视、报纸、通信、信息网络等媒体不及时传播气象主管机构所属的气象台站要求播发灾害性天气预报、警报的。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违反本条例规定，有下列行为之一的，对直接负责的主管人员和其他直接责任人员依法给予行政处分；构成犯罪的，依法追究刑事责任：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（一）在气象主管机构所属的气象台站发布重大灾害性天气预报、警</w:t>
      </w:r>
      <w:bookmarkStart w:id="0" w:name="_GoBack"/>
      <w:bookmarkEnd w:id="0"/>
      <w:r>
        <w:rPr>
          <w:rFonts w:hint="eastAsia" w:ascii="仿宋_GB2312" w:eastAsia="仿宋_GB2312"/>
          <w:sz w:val="32"/>
          <w:szCs w:val="32"/>
          <w:lang w:val="en-US" w:eastAsia="zh-CN"/>
        </w:rPr>
        <w:t>报后，未适时启动应急预案或者未按应急预案采取有关措施、履行有关义务，导致重大或者特大事故的；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（二）未按第十条规定提供与气象灾害有关的监测信息，造成严重后果的；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（三）应当进行气候可行性论证而未经论证的项目造成重大损失的。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气象主管机构及其所属气象台站的工作人员玩忽职守，导致重大漏报、错报灾害性天气预报、警报的，依法给予行政处分；造成重大损失，构成犯罪的，依法追究刑事责任。</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adjustRightInd w:val="0"/>
        <w:snapToGrid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本条例自2006年7月1日起施行。</w:t>
      </w:r>
    </w:p>
    <w:p>
      <w:pPr>
        <w:adjustRightInd w:val="0"/>
        <w:snapToGrid w:val="0"/>
        <w:spacing w:line="580" w:lineRule="exact"/>
        <w:ind w:firstLine="626" w:firstLineChars="200"/>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新综艺W7(P)">
    <w:altName w:val="宋体"/>
    <w:panose1 w:val="040B0700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hint="eastAsia"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014857">
    <w:nsid w:val="58B14E09"/>
    <w:multiLevelType w:val="singleLevel"/>
    <w:tmpl w:val="58B14E09"/>
    <w:lvl w:ilvl="0" w:tentative="1">
      <w:start w:val="1"/>
      <w:numFmt w:val="chineseCounting"/>
      <w:suff w:val="nothing"/>
      <w:lvlText w:val="第%1章"/>
      <w:lvlJc w:val="left"/>
    </w:lvl>
  </w:abstractNum>
  <w:num w:numId="1">
    <w:abstractNumId w:val="14880148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A8110B"/>
    <w:rsid w:val="00B35C95"/>
    <w:rsid w:val="00BC1052"/>
    <w:rsid w:val="03543843"/>
    <w:rsid w:val="04F96625"/>
    <w:rsid w:val="058567CA"/>
    <w:rsid w:val="0AC93F59"/>
    <w:rsid w:val="0FEA26F3"/>
    <w:rsid w:val="195630ED"/>
    <w:rsid w:val="2726579E"/>
    <w:rsid w:val="2AA1073F"/>
    <w:rsid w:val="2DCD047B"/>
    <w:rsid w:val="2F6C3C0D"/>
    <w:rsid w:val="2FF70AF9"/>
    <w:rsid w:val="30123A2C"/>
    <w:rsid w:val="30C32DC3"/>
    <w:rsid w:val="329E3262"/>
    <w:rsid w:val="43BF5015"/>
    <w:rsid w:val="457E6B62"/>
    <w:rsid w:val="475F2A4A"/>
    <w:rsid w:val="4CE26855"/>
    <w:rsid w:val="4DEA368F"/>
    <w:rsid w:val="5422390A"/>
    <w:rsid w:val="57C34C0A"/>
    <w:rsid w:val="5B365574"/>
    <w:rsid w:val="5DE21BB8"/>
    <w:rsid w:val="70AA3076"/>
    <w:rsid w:val="78102125"/>
    <w:rsid w:val="78C30576"/>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1257</Words>
  <Characters>7169</Characters>
  <Lines>59</Lines>
  <Paragraphs>16</Paragraphs>
  <ScaleCrop>false</ScaleCrop>
  <LinksUpToDate>false</LinksUpToDate>
  <CharactersWithSpaces>8410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2017-03-09T13:45:55Z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