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辽宁省</w:t>
      </w:r>
      <w:bookmarkStart w:id="0" w:name="_GoBack"/>
      <w:bookmarkEnd w:id="0"/>
      <w:r>
        <w:rPr>
          <w:rFonts w:hint="eastAsia" w:asciiTheme="majorEastAsia" w:hAnsiTheme="majorEastAsia" w:eastAsiaTheme="majorEastAsia" w:cstheme="majorEastAsia"/>
          <w:sz w:val="44"/>
          <w:szCs w:val="44"/>
        </w:rPr>
        <w:t>渔港管理条例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（1997年9月27日辽宁省第八届人民代表大会常务委员会第三十次会议通过  根据2010年7月30日辽宁省第十一届人民代表大会常务委员会第十八次会议《关于修改部分地方性法规的决定》修正）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黑体" w:hAnsi="黑体" w:eastAsia="黑体" w:cs="黑体"/>
          <w:sz w:val="32"/>
          <w:szCs w:val="32"/>
        </w:rPr>
        <w:t xml:space="preserve"> </w:t>
      </w:r>
      <w:r>
        <w:rPr>
          <w:rFonts w:hint="eastAsia" w:ascii="仿宋" w:hAnsi="仿宋" w:eastAsia="仿宋" w:cs="仿宋"/>
          <w:sz w:val="32"/>
          <w:szCs w:val="32"/>
        </w:rPr>
        <w:t>为加强渔港管理，维护渔港功能，保护渔港设施，加快渔港建设，防止渔港水域污染，促进渔业生产的持续发展，根据《中华人民共和国海上交通安全法》及有关法律、法规的规定，结合本省实际，制定本条例。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在本省渔港及渔港水域范围内航行、作业、停泊的船舶和进行开发建设、石油勘探、科学研究、保护管理以及其他活动的单位和个人，必须遵守本条例。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县（含县级市、区，下同）以上人民政府的渔业行政主管部门是管理本行政区域内渔港的主管机关，其渔港监督机构依照国家法律、法规和本条例的规定，对渔港实施监督管理和港务管理。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渔港的所有权、使用权和管理权受法律保护。渔港使用单位必须接受渔港监督机构的监督管理。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第五条 </w:t>
      </w:r>
      <w:r>
        <w:rPr>
          <w:rFonts w:hint="eastAsia" w:ascii="仿宋" w:hAnsi="仿宋" w:eastAsia="仿宋" w:cs="仿宋"/>
          <w:sz w:val="32"/>
          <w:szCs w:val="32"/>
        </w:rPr>
        <w:t xml:space="preserve"> 全省渔港的监督管理实行统一领导、分级管理的体制。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省渔港监督机构负责对下级渔港监督机构的业务领导、人员培训和执法人员资格的认定。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渔港监督机构负责人的任免必须严格按干部条件配备，并报上一级渔港监督机构备案。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一级渔港由省渔港监督机构或委托市、县渔港监督机构管理；二、三级渔港由市、县渔港监督机构或市渔港监督机构派出的机构进行管理。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渔港建设应列入渔港所在地国民经济和社会发展规划。鼓励多渠道筹集资金，加快渔港建设步伐。渔业建设费应主要用于渔港的建设和维修，专款专用。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渔港由县渔业行政主管部门提出申请，经县以上人民政府确认，划出其海陆边界，并由省渔业行政主管部门审核后，按国家的有关规定报批公布。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对渔港认定及其所有权、使用权有争议的，由县以上人民政府确认。在争议解决之前，任何一方不得改变渔港现状，不得损坏渔港设施。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凡经国家公布的渔港，任何单位和个人不得侵占和损坏。造成损坏的，必须限期修复。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凡在渔港及渔港水域内新建、改建、扩建各种设施或进行水上、水下施工作业的，除按国家有关规定履行审批手续外，应向管理该渔港的渔港监督机构报告，经渔港监督机构批准并发布航行通告后，方可进行施工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新建渔港的设计、论证和验收必须有渔港监督机构的有关人员参加。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建设施工前，必须将有关部门批准的文件、设计图纸、环境影响报告书报送市以上渔港监督机构，经渔港监督机构审核同意并发布航行通告后方可施工。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新建渔港应将防污染设施、安全导航设施、渔港配套工程的后勤用地、监督管理设施等同时列入规划。未有上述设施的不准投入运行。现有渔港也须完善上述设施。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船舶进出渔港必须按规定办理签证，服从渔港监督机构的检查和管理。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外国籍船舶及香港特别行政区和澳门、台湾等地区的船舶进出渔港，除进行联检外，还必须接受当地渔港监督机构的管理，并缴纳规定费用。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禁止在渔港水域从事有碍海上交通安全的捕捞作业和养殖生产。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第十四条 </w:t>
      </w:r>
      <w:r>
        <w:rPr>
          <w:rFonts w:hint="eastAsia" w:ascii="仿宋" w:hAnsi="仿宋" w:eastAsia="仿宋" w:cs="仿宋"/>
          <w:sz w:val="32"/>
          <w:szCs w:val="32"/>
        </w:rPr>
        <w:t xml:space="preserve"> 禁止向渔港水域内排放油类、油类混合物、回填物、废弃物和其他有毒有害物质。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船舶在渔港装卸易燃、易爆及有毒、危险物品，必须事先向渔港监督机构提出申请，经审核批准后，方可在指定位置进行作业，并应设置标志及配有防范措施。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凡划拨和征用渔港水域、岸线、渔港后勤用地、设施，围垦渔港水域内的浅海、滩涂或者改变渔港性质的，按规定报批前，必须经市以上渔港监督机构审核同意。改变渔港性质的，由占用者负责筹建同等规模和功能的渔港；影响渔港整体功能的，须予以相应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在渔港水域内发生危及人身安全、财产安全灾难时，渔港监督机构应该立即组织在港船只、人员实施救助，所有在港船只和人员必须服从调遣。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船舶在渔港水域航行、作业、停泊时，不得损坏其安全设施和作业设施。造成损坏的，应立即向渔港监督机构报告，并承担赔偿责任。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渔业船舶之间发生的交通事故，渔港水域内发生的交通事故、污染事故，由渔港监督机构负责调解或调查处理。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渔港及渔港水域内的船舶、设施有下列情形之一的，渔港监督机构可以采取禁止船舶离港或责令其停航、改航、停止作业等强制措施：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（一）违反有关法律、法规或规章的；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（二）处于不适航或者不适拖状态的；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（三）发生交通事故，手续未清的；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（四）未按规定缴纳各项费用，也未提供适当担保的；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（五）渔港监督机构认为有其他妨害或者可能妨害海上交通安全的。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违反本条例有关规定，有下列行为之一的，渔港监督机构可以采取相应措施，并予以处罚：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（一）违反本条例第八条第二款规定，责令其限期改正，并处以5000—20000元罚款；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（二）违反本条例第九条规定，责令其立即停止作业、限期拆除、恢复原貌，并处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以10000—30000元罚款；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（三）违反本条例第十一条规定，处以50—2000元罚款；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（四）违反本条例第十三条规定，处以5000—10000元罚款；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（五）违反本条例第十四条规定，处以100000元以下罚款；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（六）违反本条例第十五条规定，处以500—5000元罚款；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（七）违反本条例第十八条规定，处以400—1000元罚款。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阻碍渔港监督检查人员依法执行职务的，渔港监督机构可处以500—3000元罚款；违反《中华人民共和国治安管理处罚条例》的，由公安机关给予处罚；构成犯罪的，由司法机关依法追究刑事责任。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渔港监督人员应遵纪守法，忠于职守。对滥用职权、玩忽职守、徇私舞弊的，按人事管理权限给予行政处分；构成犯罪的，由司法机关依法追究刑事责任。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本条例下列词语的含义是：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（一）“渔港”是指主要为渔业生产服务和供渔业船舶停泊、避风、装卸渔获物和补充渔需物资的人工港口或自然港湾的水域及其与岸线相连的渔业后勤用地；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（二）“渔港水域”是指渔港的港池、锚地、避风湾及进出渔港的航道；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（三）“港务管理”是指渔港监督机构对港口秩序、船舶调度和渔港环境等实施的行政管理；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一级渔港”是指与外省渔船共用或常有外国籍渔船停靠，年卸港量在2万吨以上的渔港；“二级渔港”是指主要供本省渔船使用，年卸港量在1万吨以上、2万吨以下的渔港；“三级渔港”是指供本县渔船停泊，年卸港量在1万吨以下的渔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大连湾渔港由辽宁省大连海洋渔业集团公司行使法人财产权和港务管理权；其渔港监督管理由渔港监督机构执行。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全省内陆渔业水域可参照本条例执行。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本条例自颁布之日起施行。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0A362B"/>
    <w:rsid w:val="00DC6F67"/>
    <w:rsid w:val="0131294C"/>
    <w:rsid w:val="01A90DF8"/>
    <w:rsid w:val="02123303"/>
    <w:rsid w:val="02DC1B4A"/>
    <w:rsid w:val="030B094A"/>
    <w:rsid w:val="03187345"/>
    <w:rsid w:val="03400271"/>
    <w:rsid w:val="04A11D33"/>
    <w:rsid w:val="04E00FF6"/>
    <w:rsid w:val="04F51BA1"/>
    <w:rsid w:val="05266E56"/>
    <w:rsid w:val="054A6246"/>
    <w:rsid w:val="05B10E1F"/>
    <w:rsid w:val="064B52D3"/>
    <w:rsid w:val="06FE6E5A"/>
    <w:rsid w:val="090C6FF4"/>
    <w:rsid w:val="0BFA65D6"/>
    <w:rsid w:val="0C6A4B67"/>
    <w:rsid w:val="0C9250A8"/>
    <w:rsid w:val="0CEC2EA6"/>
    <w:rsid w:val="0D7C2526"/>
    <w:rsid w:val="0E664A1A"/>
    <w:rsid w:val="0F037DF5"/>
    <w:rsid w:val="10630639"/>
    <w:rsid w:val="107F2C41"/>
    <w:rsid w:val="109467B8"/>
    <w:rsid w:val="112C3662"/>
    <w:rsid w:val="11945F12"/>
    <w:rsid w:val="13200AFA"/>
    <w:rsid w:val="13595AA4"/>
    <w:rsid w:val="143D2F2C"/>
    <w:rsid w:val="143F54BF"/>
    <w:rsid w:val="14824A64"/>
    <w:rsid w:val="15B6789A"/>
    <w:rsid w:val="161F2837"/>
    <w:rsid w:val="164D12D6"/>
    <w:rsid w:val="17726FC4"/>
    <w:rsid w:val="177A3CFF"/>
    <w:rsid w:val="17FE62AE"/>
    <w:rsid w:val="18171061"/>
    <w:rsid w:val="181774D2"/>
    <w:rsid w:val="189A5561"/>
    <w:rsid w:val="18AF0FF7"/>
    <w:rsid w:val="18C670C6"/>
    <w:rsid w:val="1A264C98"/>
    <w:rsid w:val="1AD672BF"/>
    <w:rsid w:val="1C6E12DC"/>
    <w:rsid w:val="1CF5377A"/>
    <w:rsid w:val="1DF5713F"/>
    <w:rsid w:val="1E6229FB"/>
    <w:rsid w:val="1E8C04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537748"/>
    <w:rsid w:val="2BE3684F"/>
    <w:rsid w:val="2CE13614"/>
    <w:rsid w:val="2D013697"/>
    <w:rsid w:val="2D942549"/>
    <w:rsid w:val="2DB7090C"/>
    <w:rsid w:val="2DBE0035"/>
    <w:rsid w:val="2EA67C7A"/>
    <w:rsid w:val="2ED63F14"/>
    <w:rsid w:val="2EF66D7D"/>
    <w:rsid w:val="2F082722"/>
    <w:rsid w:val="2FAC7C6C"/>
    <w:rsid w:val="2FFC0332"/>
    <w:rsid w:val="30B05D00"/>
    <w:rsid w:val="315015BF"/>
    <w:rsid w:val="319A7AB0"/>
    <w:rsid w:val="31E03E63"/>
    <w:rsid w:val="330956BB"/>
    <w:rsid w:val="34A4792D"/>
    <w:rsid w:val="3523460C"/>
    <w:rsid w:val="355D574F"/>
    <w:rsid w:val="35E577DF"/>
    <w:rsid w:val="363F69A7"/>
    <w:rsid w:val="36811BED"/>
    <w:rsid w:val="37C466BF"/>
    <w:rsid w:val="37ED52A7"/>
    <w:rsid w:val="38721F4F"/>
    <w:rsid w:val="38EE67B9"/>
    <w:rsid w:val="38F3428F"/>
    <w:rsid w:val="3A3C6DDF"/>
    <w:rsid w:val="3A630D35"/>
    <w:rsid w:val="3AC920CE"/>
    <w:rsid w:val="3BA73BF4"/>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376741"/>
    <w:rsid w:val="4ACE5D7C"/>
    <w:rsid w:val="4BF3497D"/>
    <w:rsid w:val="4C4749AD"/>
    <w:rsid w:val="4C4F10F0"/>
    <w:rsid w:val="4C8B2202"/>
    <w:rsid w:val="4EE07366"/>
    <w:rsid w:val="4F1678B7"/>
    <w:rsid w:val="4F2C0DC2"/>
    <w:rsid w:val="4F551665"/>
    <w:rsid w:val="4FB03709"/>
    <w:rsid w:val="4FDA2B53"/>
    <w:rsid w:val="50481CEB"/>
    <w:rsid w:val="508E2CC0"/>
    <w:rsid w:val="51774BDD"/>
    <w:rsid w:val="52C57AD3"/>
    <w:rsid w:val="52E867D7"/>
    <w:rsid w:val="532A73B3"/>
    <w:rsid w:val="53966249"/>
    <w:rsid w:val="55F153C4"/>
    <w:rsid w:val="56346931"/>
    <w:rsid w:val="56C277FA"/>
    <w:rsid w:val="57EA54B3"/>
    <w:rsid w:val="585602DF"/>
    <w:rsid w:val="590E0F79"/>
    <w:rsid w:val="59836D8C"/>
    <w:rsid w:val="5A4370C0"/>
    <w:rsid w:val="5AFE29E7"/>
    <w:rsid w:val="5D0A6845"/>
    <w:rsid w:val="5D8666C1"/>
    <w:rsid w:val="5E556905"/>
    <w:rsid w:val="5E790AB1"/>
    <w:rsid w:val="5FC01C05"/>
    <w:rsid w:val="60212DE9"/>
    <w:rsid w:val="6033420B"/>
    <w:rsid w:val="625C6084"/>
    <w:rsid w:val="626C54D9"/>
    <w:rsid w:val="62BC1813"/>
    <w:rsid w:val="64A019F5"/>
    <w:rsid w:val="652671F7"/>
    <w:rsid w:val="65A52084"/>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46E6EE2"/>
    <w:rsid w:val="74FD13CF"/>
    <w:rsid w:val="753B5365"/>
    <w:rsid w:val="761746CE"/>
    <w:rsid w:val="765A6983"/>
    <w:rsid w:val="767B4FBE"/>
    <w:rsid w:val="76D129CF"/>
    <w:rsid w:val="785161E0"/>
    <w:rsid w:val="78C42802"/>
    <w:rsid w:val="78FF556C"/>
    <w:rsid w:val="79E6441F"/>
    <w:rsid w:val="7A86554B"/>
    <w:rsid w:val="7A9044D5"/>
    <w:rsid w:val="7BA834EA"/>
    <w:rsid w:val="7BCA0A4C"/>
    <w:rsid w:val="7CA15643"/>
    <w:rsid w:val="7D2A4684"/>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2017-02-16T15:25:09Z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