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jc w:val="both"/>
        <w:textAlignment w:val="auto"/>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atLeast"/>
        <w:jc w:val="both"/>
        <w:textAlignment w:val="auto"/>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湖南省市政公用事业特许经营条例</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 w:hAnsi="仿宋" w:eastAsia="仿宋"/>
          <w:sz w:val="32"/>
          <w:szCs w:val="32"/>
        </w:rPr>
      </w:pPr>
      <w:r>
        <w:rPr>
          <w:rFonts w:hint="eastAsia" w:ascii="楷体_GB2312" w:hAnsi="楷体_GB2312" w:eastAsia="楷体_GB2312" w:cs="楷体_GB2312"/>
          <w:sz w:val="32"/>
          <w:szCs w:val="32"/>
        </w:rPr>
        <w:t>（2006年5月31日湖南省第十届人民代表大会常务委员会第二十一次会议通过  根据2008 年11月28日湖南省第十一届人民代表大会常务委员会第五次会议《关于修改&lt;湖南省市政公用事业特证经营条例&gt;的决定》第一次修正  根据2016年7月30日湖南省第十二届人民代表大会常务委员会第二十三次会议《关于修改〈湖南省行政事业性收费管理条例〉等五部地方性法规的决定》第二次修正）</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为了规范市政公用事业特许经营活动，保障公众利益和特许经营者的合法权益，促进市政公用事业健康发展，根据《中华人民共和国行政许可法》和其他有关法律、法规，结合本省实际，制定本条例。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本条例所称市政公用事业特许经营，是指政府通过招标等公平竞争方式，许可特定经营者在一定期限、一定地域范围内经营某项市政公共产品或者提供某项公共服务。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本省行政区域内涉及公共资源配置和直接关系公共利益的下列行业可以实行特许经营：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（一）城市自来水供应、管道燃气供应、集中供热；</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（二）城市污水处理、垃圾处理；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（三）城市公共客运（城市出租汽车除外）；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（四）法律、法规规定的其他行业。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按照前款规定实行特许经营的，应当遵守本条例。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pacing w:val="-7"/>
          <w:sz w:val="32"/>
          <w:szCs w:val="32"/>
        </w:rPr>
        <w:t>省人民政府管理市政公用事业的有关部门</w:t>
      </w:r>
      <w:r>
        <w:rPr>
          <w:rFonts w:hint="eastAsia" w:ascii="仿宋_GB2312" w:hAnsi="仿宋_GB2312" w:eastAsia="仿宋_GB2312" w:cs="仿宋_GB2312"/>
          <w:sz w:val="32"/>
          <w:szCs w:val="32"/>
        </w:rPr>
        <w:t>负责本省行政区域内市政公用事业特许经营的指导和监督。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设区的市、自治州、县（市、区）人民政府主管市政公用事业的部门（以下称市政公用事业主管部门），依据本级人民政府的授权，负责市政公用事业项目特许经营的实施，并对特许经营活动进行监督管理。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县级以上人民政府发展改革、规划、财政、国土资源、水利、价格、环境保护、工商行政管理、国有资产管理等部门，按照各自的职责，负责市政公用事业特许经营的有关工作。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县级以上人民政府应当根据经济与社会发展需要增加对市政公用事业的财政投入。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特许经营者因承担法律、法规及政府规定的指令性义务形成的政策性亏损，政府应当给予补贴。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实施市政公用事业特许经营，应当遵循公众利益优先和公开、公平、公正的原则。</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w:t>
      </w:r>
      <w:r>
        <w:rPr>
          <w:rFonts w:hint="eastAsia" w:ascii="仿宋_GB2312" w:hAnsi="仿宋_GB2312" w:eastAsia="仿宋_GB2312" w:cs="仿宋_GB2312"/>
          <w:sz w:val="32"/>
          <w:szCs w:val="32"/>
        </w:rPr>
        <w:t>公众享有对市政公用事业特许经营的知情权和监督权。有关人民政府应当建立社会参与机制，保障公众对特许经营活动的有效监督。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第二章  特许经营权的授予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第八条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市政公用事业特许经营可以采用下列形式：</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（一）许可特定经营者投资建设并经营某项目，经营期限届满后移交政府；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（二）许可特定经营者向政府支付某已建项目的建设资金后经营该项目，经营期限届满后移交政府；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（三）许可特定经营者租赁经营某已建项目，经营期限届满，特许经营权终止；</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（四）法律、法规规定的其他形式。</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人民政府按照前款规定实施特许经营收取的费用，应当专项用于市政公用事业，不得挪作他用，并依法接受审计监督。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特许经营期限应当根据行业特点、经营规模、经营方式等因素确定，最长不得超过三十年。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第十条</w:t>
      </w:r>
      <w:r>
        <w:rPr>
          <w:rFonts w:hint="eastAsia" w:ascii="仿宋" w:hAnsi="仿宋" w:eastAsia="仿宋"/>
          <w:sz w:val="32"/>
          <w:szCs w:val="32"/>
        </w:rPr>
        <w:t xml:space="preserve">  </w:t>
      </w:r>
      <w:r>
        <w:rPr>
          <w:rFonts w:hint="eastAsia" w:ascii="仿宋_GB2312" w:hAnsi="仿宋_GB2312" w:eastAsia="仿宋_GB2312" w:cs="仿宋_GB2312"/>
          <w:sz w:val="32"/>
          <w:szCs w:val="32"/>
        </w:rPr>
        <w:t>设区的市、自治州、县（市、区）人民政府决定实施特许经营的市政公用事业项目，由市政公用事业主管部门会同发展改革、财政、价格、国有资产管理等部门，根据城市规划、市政公用事业各专业规划、经济和社会发展要求等进行论证，并公开征求有关部门和公众意见或者听证后，制定实施方案，报本级人民政府批准。跨行政区域的市政公用事业项目的特许经营实施方案，由有关人民政府共同组织制定，报共同的上一级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前款规定的特许经营实施方案，应当报</w:t>
      </w:r>
      <w:r>
        <w:rPr>
          <w:rFonts w:hint="eastAsia" w:ascii="仿宋_GB2312" w:hAnsi="仿宋_GB2312" w:eastAsia="仿宋_GB2312" w:cs="仿宋_GB2312"/>
          <w:bCs/>
          <w:spacing w:val="-7"/>
          <w:sz w:val="32"/>
          <w:szCs w:val="32"/>
        </w:rPr>
        <w:t>省人民政府管理市政公用事业的有关部门</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市政公用事业特许经营实施方案，应当明确下列事项：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（一）项目的基本情况；</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（二）该项目基本经济、技术分析；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特许经营权的授予方式；</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（四）特许经营的形式、主要内容、范围及期限；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（五）拟许可的特许经营者数量、特许经营者的条件；</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（六）财政补贴及其他优惠措施；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（七）政府的监督管理措施。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市政公用事业特许经营实施方案经批准后，由市政公用事业主管部门通过公开发行的报纸、电视、政府网站等向社会公告，并组织实施。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第十三条</w:t>
      </w:r>
      <w:r>
        <w:rPr>
          <w:rFonts w:hint="eastAsia" w:ascii="仿宋" w:hAnsi="仿宋" w:eastAsia="仿宋"/>
          <w:sz w:val="32"/>
          <w:szCs w:val="32"/>
        </w:rPr>
        <w:t xml:space="preserve">  </w:t>
      </w:r>
      <w:r>
        <w:rPr>
          <w:rFonts w:hint="eastAsia" w:ascii="仿宋_GB2312" w:hAnsi="仿宋_GB2312" w:eastAsia="仿宋_GB2312" w:cs="仿宋_GB2312"/>
          <w:sz w:val="32"/>
          <w:szCs w:val="32"/>
        </w:rPr>
        <w:t>符合下列条件的企业法人，可以申请从事市政公用事业项目的特许经营：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（一）银行资信和财务状况良好，并有满足该项目经营必需的资金或者可靠的资金来源及相应偿债能力；</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（二）有良好的经营业绩；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有相应数量和相应从业资格的技术、财务、管理人员和该项目经营必需的设备、设施；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（四）有切实可行的经营方案和保证提供持续、稳定、方便、及时、安全、优质、价格合理的普遍服务的能力；</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（五）有关法律、法规、规章规定的其他条件。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w:t>
      </w:r>
      <w:r>
        <w:rPr>
          <w:rFonts w:hint="eastAsia" w:ascii="仿宋_GB2312" w:hAnsi="仿宋_GB2312" w:eastAsia="仿宋_GB2312" w:cs="仿宋_GB2312"/>
          <w:sz w:val="32"/>
          <w:szCs w:val="32"/>
        </w:rPr>
        <w:t>同一地域范围内的同一行业市政公用事业特许经营权，应当授予两个以上的经营者；但因行业特点和地域条件的限制，无法授予两个以上经营者的除外。</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第十五条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用事业特许经营招标，应当遵守招标投标法律、法规；应当将保证市政公共产品或者公共服务的供应、质量、安全和价格合理作为实质要件，并在招标文件中列明具体要求。招标文件由市政公用事业主管部门会同发展改革、财政、价格等部门组织专家编制，报本级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招标工作由市政公用事业主管部门依法委托招标代理机构进行。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第十六条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市政公用事业主管部门在特许经营者确定之日起三十日内，与特许经营者签订市政公用事业特许经营协议，并颁发市政公用事业特许经营授权书。</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市政公用事业特许经营协议应当具体约定下列事项：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（一）项目名称、内容、经营地域、特许经营实施方式、经营期限；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（二）市政公共产品或者公共服务的名称、数量、质量标准和安全标准；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（三）投资回报方式及其确定、调整机制；</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（四）设备设施的权属及保养维护、建设、更新改造责任；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（五）政府的保障措施；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（六）政府向特许经营者移交项目及期限届满或者解除特许经营协议后特许经营者向政府移交项目的内容、数量、质量标准，移交的方式、程序、期限；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（七）履约担保；</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（八）违约责任；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（九）特许经营协议的解除及其补偿办法；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（十）法律、法规、规章规定和双方认为应当约定的其他事项。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市政公用事业特许经营协议的实质内容，不得有与招标文件内容相抵触的约定。市政公用事业特许经营协议允许公众查阅。</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特许经营期限届满后，有关人民政府应当按照本条例的规定，重新进行特许经营权的授予。特许经营权的重新授予应当于特许经营期限届满六个月前完成。</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期内，特许经营者因自身原因无法继续经营的，可以申请解除特许经营协议。市政公用事业主管部门应当于收到申请之日起三十日内，查明情况，报请本级人民政府审查决定是否准许。准许解除特许经营协议的，市政公用事业主管部门应当于决定之日起九十日内，依照本条例的规定确定新的特许经营者。</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在前款规定的期间内，原特许经营者应当善意履行看守职责，并保证市政公共产品或者公共服务的正常提供。</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依照本条规定解除特许经营协议的，原特许经营者应当依照特许经营协议的约定承担违约责任。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firstLine="640" w:firstLineChars="200"/>
        <w:textAlignment w:val="auto"/>
        <w:rPr>
          <w:rFonts w:ascii="黑体" w:hAnsi="黑体" w:eastAsia="黑体"/>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期内，特许经营者因不可抗力无法继续经营的，可以申请解除特许经营协议。市政公用事业主管部门应当临时接管该项目，保障该项市政公共产品或者公共服务的正常提供，并于接管之日起九十日内，依照本条例的规定确定新的特许经营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textAlignment w:val="auto"/>
        <w:rPr>
          <w:rFonts w:hint="eastAsia"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lang w:eastAsia="zh-CN"/>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特许经营者的权利和义务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800" w:firstLineChars="250"/>
        <w:textAlignment w:val="auto"/>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特许经营者依法取得的市政公用事业特许经营权受法律保护，有关人民政府及其市政公用事业主管部门不得擅自撤回或者改变。</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因有关法律、法规、规章修改、废止，或者授予特许经营权所依据的客观情况发生重大变化，为了公共利益的需要，可以依法变更或者收回已经授予的特许经营权。由此给特许经营者造成财产损失的，有关人民政府应当依法给予补偿。</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特许经营者具有下列权利：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（一）依法自主经营；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（二）依法获取收益；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（三）请求政府及其有关部门制止和排除侵害特许经营权的行为；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建议对发展规划和价格等进行调整；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（五）享受有关的优惠政策和财政补贴；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（六）拒绝和抵制各种乱收费、乱摊派等行为；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（七）法律、法规、规章规定的和特许经营协议约定的其他权利。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特许经营者应当遵守下列规定：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（一）根据特许经营协议编制中长期发展规划、年度经营计划和应急预案，并报市政公用事业主管部门备案；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（二）依法经营保证安全，履行普遍服务、持续服务义务；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按照特许经营协议的约定提供数量充足、质量合格的市政公共产品或者公共服务；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（四）按照政府审定的价格提供市政公共产品或者公共服务；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（五）按照城市规划和特许经营协议的约定投资建设和更新改造相关市政公用设施；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（六）做好设备设施的保养维护工作，确保其状况良好、运转正常；</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（七）允许其他经营者按照规划要求连接其投资建设或者经营管理的公用设施，其收费按照价格主管部门的规定执行；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（八）接受市政公用事业主管部门及其他有关部门对其提供的市政公共产品或者公共服务的数量、质量、价格以及安全状况等的监督检查；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经营期限届满或者解除特许经营协议后，按照法律、法规、规章的规定或者特许经营协议的约定，向市政公用事业主管部门或者其指定的单位完整移交正常经营必需的档案资料、正常运行的设备设施和其他应当移交的资产；</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（十）履行法律、法规、规章规定的和特许经营协议约定的其他义务。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特许经营者不得有下列行为：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（一）擅自转让或者以承包经营、挂靠等方式变相转让特许经营权；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（二）质押特许经营权；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（三）降低所提供的市政公共产品或者公共服务的质量，减少应当提供的市政公共产品或者公共服务的数量，迟延或者间断提供市政公共产品或者公共服务，擅自提高市政公共产品或者公共服务的价格；</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（四）擅自向消费者收取未经价格主管部门批准的费用；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（五）擅自停业、歇业；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rPr>
        <w:t>（六）法律、法规、规章和特许经营协议禁止的其他行为。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监督管理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市政公用事业主管部门，应当履行下列职责：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（一）依法制止和排除或者要求有关部门依法制止和排除侵害特许经营权的行为；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（二）督促特许经营者履行法定的和特许经营协议约定的义务；</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（三）对特许经营者提供的市政公共产品或者公共服务的数量、质量、价格以及安全生产、设备设施保养维护等情况进行监督；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（四）组织专家对特许经营者的经营情况进行中期评估或者年度评估，并向公众公布评估结果；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（五）协助有关部门核算和监控企业成本，必要时提出价格调整建议；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（六）受理、处理公众对特许经营活动的投诉；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（七）制定市政公用事业特许经营应急预案，在出现危及或者可能危及公共利益、公共安全的紧急情况时，采取有效措施或者临时接管特许经营项目；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（八）特许经营期限届满或者解除特许经营协议后，依照法律、法规、规章的规定和特许经营协议的约定接收或者监督原特许经营者向新特许经营者移交项目；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（九）每年初向本级人民政府报告上一年度市政公用事业特许经营实施情况；</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（十）法律、法规、规章规定的其他职责。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w:t>
      </w:r>
      <w:r>
        <w:rPr>
          <w:rFonts w:hint="eastAsia" w:ascii="仿宋_GB2312" w:hAnsi="仿宋_GB2312" w:eastAsia="仿宋_GB2312" w:cs="仿宋_GB2312"/>
          <w:sz w:val="32"/>
          <w:szCs w:val="32"/>
        </w:rPr>
        <w:t>实施市政公用事业特许经营的人民政府应当组织建立市政公用事业特许经营公众监督委员会，代表公众对市政公用事业特许经营活动进行监督。公众监督委员会成员中，非政府部门的专家和公众代表不得少于三分之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对市政公用事业特许经营中关系公众利益的事项，公众监督委员会有权提出意见和建议。有关人民政府、政府有关部门和特许经营者应当充分听取公众监督委员会的意见，及时解决公众监督委员会提出的问题；对不予采纳的意见，应当向公众监督委员会书面说明理由。</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w:t>
      </w:r>
      <w:r>
        <w:rPr>
          <w:rFonts w:hint="eastAsia" w:ascii="仿宋_GB2312" w:hAnsi="仿宋_GB2312" w:eastAsia="仿宋_GB2312" w:cs="仿宋_GB2312"/>
          <w:sz w:val="32"/>
          <w:szCs w:val="32"/>
        </w:rPr>
        <w:t>价格主管部门应当加强对市政公共产品、公共服务价格的管理和监督检查，依法制定或调整市政公共产品、公共服务价格，查处价格违法行为。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制定或者调整市政公共产品、公共服务价格，应当根据社会平均成本、经营者合理收益、社会承受能力以及其他相关因素予以确定。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w:t>
      </w:r>
      <w:r>
        <w:rPr>
          <w:rFonts w:hint="eastAsia" w:ascii="仿宋_GB2312" w:hAnsi="仿宋_GB2312" w:eastAsia="仿宋_GB2312" w:cs="仿宋_GB2312"/>
          <w:sz w:val="32"/>
          <w:szCs w:val="32"/>
        </w:rPr>
        <w:t>制定或者调整市政公共产品、公共服务价格，价格主管部门应当对特许经营成本进行监审，确保价格成本的真实、准确。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共产品、公共服务价格的制定、调整，可以由特许经营者、消费者组织、公众监督委员会、行业协会或者市政公用事业主管部门书面向价格主管部门提出制定或者调整市政公共产品、公共服务价格的申请，也可以由有定价权的价格主管部门依法直接提出定价、调价方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w:t>
      </w:r>
      <w:r>
        <w:rPr>
          <w:rFonts w:hint="eastAsia" w:ascii="仿宋_GB2312" w:hAnsi="仿宋_GB2312" w:eastAsia="仿宋_GB2312" w:cs="仿宋_GB2312"/>
          <w:sz w:val="32"/>
          <w:szCs w:val="32"/>
        </w:rPr>
        <w:t>价格主管部门制定和调整市政公共产品、公共服务价格，应当依法组织听证。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r>
        <w:rPr>
          <w:rFonts w:hint="eastAsia" w:ascii="黑体" w:hAnsi="黑体" w:eastAsia="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价格主管部门在会同市政公用事业主管部门制定市政公共产品、公共服务价格方案时应当充分吸收听证会所提出的意见。价格方案报本级人民政府批准后在公开发行的报纸、电视、政府网站等媒体上公告，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lang w:eastAsia="zh-CN"/>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以欺骗、贿赂等不正当手段取得特许经营权的，由市政公用事业主管部门撤销特许经营权，并由有关行政主管部门依法予以处罚；构成犯罪的，依法追究刑事责任。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被撤销特许经营权的企业或者其他经济组织，三年内不得请从事市政公用事业特许经营。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w:t>
      </w:r>
      <w:r>
        <w:rPr>
          <w:rFonts w:hint="eastAsia" w:ascii="仿宋_GB2312" w:hAnsi="仿宋_GB2312" w:eastAsia="仿宋_GB2312" w:cs="仿宋_GB2312"/>
          <w:sz w:val="32"/>
          <w:szCs w:val="32"/>
        </w:rPr>
        <w:t>特许经营者有下列情形之一的，由市政公用事业主管部门责令改正；拒不改正的，经本级人民政府批准，可以解除特许经营协议，收回特许经营权：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（一）擅自转让或者变相转让特许经营权，或者质押特许经营权的；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（二）不履行普遍服务义务，或者不履行设备设施保养维护、建设、更新改造义务，危及公众利益、公共安全的；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（三）所提供的市政公共产品或者公共服务达不到国家规定或者特许经营协议约定的标准，严重影响公众利益的；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（四）造成重大安全责任事故，或者存在重大安全隐患、危及公共安全的；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（五）因经营管理不善、财务状况严重恶化，危及公众利益的；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（六）擅自停业、歇业的；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（七）法律、法规、规章规定或者特许经营协议约定应予收回特许经营权的其他情形。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市政公用事业主管部门依照本条例第三十一条、第三十二条的规定，撤销或者收回特许经营权，应当告知特许经营者有要求举行听证的权利。特许经营者要求举行听证的，市政公用事业主管部门应当组织听证。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w:t>
      </w:r>
      <w:r>
        <w:rPr>
          <w:rFonts w:hint="eastAsia" w:ascii="仿宋_GB2312" w:hAnsi="仿宋_GB2312" w:eastAsia="仿宋_GB2312" w:cs="仿宋_GB2312"/>
          <w:sz w:val="32"/>
          <w:szCs w:val="32"/>
        </w:rPr>
        <w:t>违反本条例的其他违法行为，有关法律法规规定了处罚的，依照其规定执行。</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w:t>
      </w:r>
      <w:r>
        <w:rPr>
          <w:rFonts w:hint="eastAsia" w:ascii="仿宋_GB2312" w:hAnsi="仿宋_GB2312" w:eastAsia="仿宋_GB2312" w:cs="仿宋_GB2312"/>
          <w:sz w:val="32"/>
          <w:szCs w:val="32"/>
        </w:rPr>
        <w:t>市政公用事业主管部门及其他有关部门的工作人员在市政公用事业特许经营监督管理活动中玩忽职守、徇私舞弊、滥用职权的，依法给</w:t>
      </w:r>
      <w:bookmarkStart w:id="0" w:name="_GoBack"/>
      <w:bookmarkEnd w:id="0"/>
      <w:r>
        <w:rPr>
          <w:rFonts w:hint="eastAsia" w:ascii="仿宋_GB2312" w:hAnsi="仿宋_GB2312" w:eastAsia="仿宋_GB2312" w:cs="仿宋_GB2312"/>
          <w:sz w:val="32"/>
          <w:szCs w:val="32"/>
        </w:rPr>
        <w:t>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jc w:val="center"/>
        <w:textAlignment w:val="auto"/>
        <w:rPr>
          <w:rFonts w:hint="eastAsia" w:ascii="黑体" w:hAnsi="黑体" w:eastAsia="黑体"/>
          <w:sz w:val="32"/>
          <w:szCs w:val="32"/>
        </w:rPr>
      </w:pPr>
      <w:r>
        <w:rPr>
          <w:rFonts w:hint="eastAsia" w:ascii="黑体" w:hAnsi="黑体" w:eastAsia="黑体"/>
          <w:sz w:val="32"/>
          <w:szCs w:val="32"/>
          <w:lang w:eastAsia="zh-CN"/>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800" w:firstLineChars="250"/>
        <w:textAlignment w:val="auto"/>
        <w:rPr>
          <w:rFonts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本条例自2006 年10 月1 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A7D1"/>
    <w:multiLevelType w:val="singleLevel"/>
    <w:tmpl w:val="58ABA7D1"/>
    <w:lvl w:ilvl="0" w:tentative="0">
      <w:start w:val="19"/>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D7C5C"/>
    <w:rsid w:val="05097AD0"/>
    <w:rsid w:val="10B63C0C"/>
    <w:rsid w:val="166E52DE"/>
    <w:rsid w:val="280A3758"/>
    <w:rsid w:val="2D2D7C5C"/>
    <w:rsid w:val="31DD71E5"/>
    <w:rsid w:val="3CB2381C"/>
    <w:rsid w:val="42BC47AE"/>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6723;\&#27861;&#35268;&#36716;&#25442;\&#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2017-02-21T02:20:00Z</dcterms:created>
  <dc:creator>Administrator</dc:creator>
  <cp:lastModifiedBy>Administrator</cp:lastModifiedBy>
  <dcterms:modified xsi:type="dcterms:W3CDTF">2017-02-21T07:24:51Z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