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邮政条例"/>
      <w:bookmarkEnd w:id="0"/>
      <w:r>
        <w:rPr>
          <w:rFonts w:ascii="方正小标宋简体" w:eastAsia="方正小标宋简体" w:hAnsi="方正小标宋简体" w:cs="方正小标宋简体" w:hint="eastAsia"/>
          <w:color w:val="333333"/>
          <w:sz w:val="44"/>
          <w:szCs w:val="44"/>
          <w:shd w:val="clear" w:color="auto" w:fill="FFFFFF"/>
        </w:rPr>
        <w:t>吉林省邮政条例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（2002年1月18日吉林省第九届人民代表大会常务委员会第二十八次会议通过　根据2004年6月18日吉林省第十届人民代表大会常务委员会第十一次会议《吉林省人民代表大会常务委员会关于废止和修改部分地方性法规的决定》修改　根据2010年11月26日吉林省第十一届人民代表大会常务委员会第二十二次会议《吉林省人民代表大会常务委员会关于修改部分地方性法规的决定》修改　2013年9月27日吉林省第十二届人民代表大会常务委员会第四次会议修订　2024年11月27日吉林省第十四届人民代表大会常务委员会第十四次会议修订）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邮政服务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快递服务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促进发展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安全保障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邮政普遍服务，加强对邮政市场的监督管理，维护邮政通信与信息安全，保护通信自由、通信秘密和用户合法权益，促进邮政业高质量发展，根据《中华人民共和国邮政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本省行政区域内邮政业的规划、建设、服务、安全及其监督管理等活动，适用本条例。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县级以上人民政府应当将邮政业发展纳入国民经济和社会发展规划，按照国家和省有关规定承担相应的财政事权和支出责任。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省和市、州邮政管理部门负责本行政区域内邮政普遍服务和邮政市场的监督管理。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邮政管理部门应当和有关部门相互配合，建立健全安全保障机制，加强对邮政通信与信息安全的监督管理，确保邮政通信与信息安全。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县级以上人民政府有关部门按照各自职责，做好邮政市场监督管理的相关工作。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设区的市级、县级人民政府应当落实邮政业安全属地职责。县级人民政府可以依托县级交通运输部门或者由上级邮政管理部门设置派出机构履行监管职责，具体形式由上级邮政管理部门与有关人民政府协商确定。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未依托交通运输部门或者上级邮政管理部门未设置派出机构履行监管职责的，邮政管理部门可以依照《中华人民共和国行政处罚法》的规定，书面委托依法成立并符合法定条件的具有管理公共事务职能的组织作为实施行政处罚的主体。</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各级人民政府及其有关部门应当对邮政企业提供邮政普遍服务给予支持。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鼓励和支持快递业发展，推进现代快递服务体系建设，满足社会需求。</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邮政企业、快递企业应当加强服务质量管理，建立健全邮件、快件寄递安全保障体系，为用户提供迅速、准确、安全、方便的服务。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省邮政管理部门会同有关部门编制全省邮政业发展规划。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市、州邮政管理部门可以根据需要编制本行政区域邮政业发展的相关规划。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县级以上人民政府应当将邮政和快递园区、邮件和快件处理中心等基础设施的布局和建设纳入国土空间规划。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县级以上人民政府应当将邮政运输网络建设纳入本级综合交通运输发展专项规划，将智能快件箱、快递末端综合服务场所纳入公共服务设施相关规划。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县级以上人民政府应当将农村寄递物流体系建设纳入相关规划和公共基础设施建设。</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建设城市新区、独立工矿区、开发区、商业区、旅游区、住宅区或者对旧城区进行改造，应当同时配套建设提供邮政普遍服务的邮政设施。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城市建成区已有的邮政设施不能满足邮政普遍服务要求的，应当列入城市改造计划，改建、扩建或者重建。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邮政设施产权主体应当对邮政设施进行经常性维护，保证邮政设施的正常使用；邮政企业应当保证提供邮政普遍服务的乡镇固定自有邮政营业场所的正常运营。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县级以上人民政府应当加强乡镇邮政设施和村邮站的投入和建设。乡镇人民政府应当组织村民委员会设立村邮站或者其他接收邮件的场所。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邮政企业应当对村邮站提供业务指导和支持，并与村邮站签订邮件接收、转投协议。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征收邮政营业场所或者邮件处理场所的，应当根据保障邮政普遍服务的要求，按照就近安置、方便用邮、不少于原有面积的原则，对邮政营业场所或者邮件处理场所的重新设置作出妥善安排；未作出妥善安排前，不得征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邮政营业场所或者邮件处理场所重新设置前，征收单位应当征求邮政企业的意见；邮政企业应当采取安排过渡场所等措施，保证邮政普遍服务的正常进行。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建设单位建设城镇居民楼，应当按照国家规定标准设置信报箱，所需费用计入建筑成本，并按照法定验收程序组织验收。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智能投递设施，将智能快件箱纳入便民服务、民生工程等项目；鼓励经营快递业务的企业在住宅小区、商业中心、高等院校、医院、园区、交通枢纽以及人口密集区等区域设置智能快件箱，提供快递末端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邮政服务"/>
      <w:bookmarkEnd w:id="19"/>
      <w:r>
        <w:rPr>
          <w:rFonts w:ascii="Times New Roman" w:eastAsia="黑体" w:hAnsi="Times New Roman" w:cs="黑体" w:hint="eastAsia"/>
          <w:szCs w:val="32"/>
        </w:rPr>
        <w:t>第三章　邮政服务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邮政企业应当承担提供邮政普遍服务的义务，按照邮政普遍服务标准提供普遍服务，完善安全保障措施。</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邮政企业变更邮政普遍服务营业场所的名称、营业时间、经营方式、产权性质和地址等信息的，应当向邮政营业场所所在地的市、州邮政管理部门备案并予以公告。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邮政企业应当在其营业场所公示或者以其他方式公布其服务种类、营业时间、资费标准、邮件和汇款的查询及损失赔偿办法、禁止寄递或者限制寄递物品的规定以及用户对其服务质量的投诉办法。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少数民族聚居地区的邮政营业场所应当提供国家通用语言文字和所在地少数民族语言文字的标示及查询服务，对邮政设施标示双语。</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邮政企业对用户交寄的邮件，应当按照国务院邮政管理部门规定的寄递时限和服务规范予以投递。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邮政企业采取按址投递、用户领取或者与用户协商的其他方式投递邮件。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对暂不具备按址投递条件的用户，邮政企业应当将邮件投递至与用户商定的已通邮的接收邮件的场所。</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民政部门、公安部门应当按照职责确定城镇街道、农村自然村标准地名，对单位和居民住宅设置统一编制的门牌号码。标准地名和门牌号码发生变更的，民政部门和公安部门应当及时公布。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邮政企业应当定期核对用邮地址，并根据标准地名和门牌号码进行投递。</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邮政企业从业人员投递邮件时，应当统一穿着具有邮政专用标志的服装，佩戴工号牌或者胸卡，使用文明用语。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机关、企业事业单位、住宅小区管理单位等应当为邮政企业投递邮件提供便利，不得收取任何费用，不得无正当理由阻碍邮政企业从业人员、投递车辆进入。</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单位收发室、村邮站等接收邮件时，负有保护和接转邮件的责任；对超过一个月确认无法转交的邮件，应当签注意见并妥善保管，由邮政企业定期收回。</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邮政企业根据用户需要，可以提供邮政普遍服务的延伸服务。邮政企业不得强制用户接受延伸服务，不得变相收取延伸服务费。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邮政专用车辆应当使用统一的邮政专用标志。带有邮政专用标志的提供邮政普遍服务的车辆，发生道路交通事故时，公安机关交通管理部门应当协助邮政企业保护邮件安全。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铁路、公路、水路、航空等运输单位应当采取措施，保证邮政普遍服务邮件优先发运。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车站、机场、港口应当安排装卸场所和出入通道，并根据实际需要，在邮件运输、场地租用等方面为邮政企业开展邮政普遍服务提供便利。</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各级人民政府及其有关部门可以结合当地实际对邮政普遍服务进行适当补贴，支持乡镇邮政局（所）提供邮政普遍服务。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邮政企业及其从业人员不得实施下列行为：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（一）冒领、私自开拆、隐匿、毁弃、倒卖或者非法检查、非法扣留邮件，撕揭邮票；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（二）冒领、非法扣留用户汇款；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（三）无正当理由拒绝、拖延、中断邮政业务；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（四）擅自变更邮政普遍服务收费标准或者增加收费项目，强迫、误导用户使用高资费邮政业务；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（五）转让、出租、出借邮政专用品或者邮政专用标志；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（六）利用带有邮政专用标志的车船从事邮件运递以外的经营性活动；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（七）强行搭售集邮票品及其他商品或者强迫订阅报纸杂志等；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（八）限定用户对信件、印刷品和包裹等邮件的资费支付方式；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（九）泄露用户使用邮政服务的信息；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快递服务"/>
      <w:bookmarkEnd w:id="32"/>
      <w:r>
        <w:rPr>
          <w:rFonts w:ascii="Times New Roman" w:eastAsia="黑体" w:hAnsi="Times New Roman" w:cs="黑体" w:hint="eastAsia"/>
          <w:szCs w:val="32"/>
        </w:rPr>
        <w:t>第四章　快递服务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经营快递业务的企业应当按照快递服务标准，规范快递业务经营活动，保障服务质量，维护用户合法权益。</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两个以上经营快递业务的企业使用统一的商标、字号、快递运单及其配套的信息系统的，应当在服务质量、安全保障、业务流程、用户投诉、损失赔偿、生态环保、从业人员权益保障等方面实行统一管理。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经营快递业务的企业应当将快件投递到约定的收件地址、收件人或者收件人指定的代收人，并告知收件人或者代收人当面验收。收件人或者代收人有权当面验收。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收件人或者代收人不能当面验收快件的，经营快递业务的企业应当与用户另行约定快件投递服务方式和确认收到快件方式。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经营快递业务的企业未经用户同意，不得代为确认收到快件，不得将快件投递到智能快件箱、快递服务站等快递末端服务设施。</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邮政管理部门会同县级以上人民政府公安机关交通管理等部门，依法规范快递服务车辆的管理和使用。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对带有快递专用标识的车辆，在确保安全的情况下，公安机关交通管理、交通运输、住房和城乡建设、城市管理以及其他有关部门应当对其通行、临时停靠等方面提供便利。</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企业事业单位、住宅小区管理单位应当根据实际情况，采取与经营快递业务的企业签订合同、设置快件收寄投递专门场所等方式，为开展快递服务提供必要的便利。</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经营快递业务的企业及其从业人员不得实施下列行为：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（一）相互串通操纵市场价格，损害其他快递企业或者用户的合法权益；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（二）冒用他人名称、商标标识或者企业标识，扰乱市场经营秩序；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（三）冒领、私自开拆、隐匿、毁弃、倒卖或者非法检查、非法扣留快件；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（四）抛扔、踩踏快件；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（五）无正当理由以低于成本价格提供快递服务；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（六）违法虚构快递服务信息或者明知他人从事非法活动仍配合提供快递服务；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（七）将信件打包作为包裹寄递；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（八）出售、泄露或者非法提供快递服务过程中知悉的用户信息；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促进发展"/>
      <w:bookmarkEnd w:id="39"/>
      <w:r>
        <w:rPr>
          <w:rFonts w:ascii="Times New Roman" w:eastAsia="黑体" w:hAnsi="Times New Roman" w:cs="黑体" w:hint="eastAsia"/>
          <w:szCs w:val="32"/>
        </w:rPr>
        <w:t>第五章　促进发展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邮政管理部门应当建立快递业与先进制造业、商贸业、现代农业、电子商务等关联产业和业态的协同发展机制，加强信息沟通，共享设施和网络资源，支持经营快递业务的企业入驻各类园区，引导经营快递业务的企业建立多场景灵活适用的供应链服务平台，推动融合发展。</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县级以上人民政府应当推进县乡村三级交通运输、邮政基础设施一体化建设，促进资源和信息整合、优势互补、融合发展，鼓励运输、仓储、分拨、配送等资源和信息共享。</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县级以上人民政府及邮政管理部门应当加强邮政业绿色发展工作的组织实施，支持邮政业包装、中转、运输、仓储等环节的绿色建设，鼓励、支持建设绿色分拨中心和绿色网点，促进邮政业绿色发展。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执行邮政业绿色包装相关标准，按照国家规定使用环保材料对邮件、快件进行包装，优先采用可重复使用、易回收利用的包装物，优化邮件、快件包装，减少包装物的使用，并积极回收利用包装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协议用户提供邮件、快件封装用品和胶带的，邮政企业、快递企业应当向其书面告知，所提供的封装用品和胶带应当符合国家规定。</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县级以上人民政府及邮政管理部门应当加快培育数字快递新业态和新模式，支持经营快递业务的企业在快件收寄、分拣、运输、投递等环节应用数字化技术，促进快递业数字化发展。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支持智能安检设备、自动化分拣设备、机械化装卸设备和快递电子运单的推广应用，鼓励经营快递业务的企业探索使用无人机等运载工具，加大智能产品在快递作业场景的应用。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邮政管理部门应当加快农村寄递物流体系建设，在人员、场地、设施等方面支持快递服务延伸至行政村；鼓励经营快递业务的企业创新合作模式，共用末端配送网络，推进农村寄递物流与农村电商融合发展，推动农产品出村进城。</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邮政管理部门应当与有关部门建立协作机制，推动实现进出境邮件、快件便捷通关。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邮政企业、快递企业依法开展进出境邮政和快递业务，建设国际邮件互换局（交换站）、转运枢纽、邮件或者快件处理中心等场所；支持快递企业与跨境电子商务企业、国际货运企业开展合作，拓展境内外电商和寄递服务市场，提升跨境运输能力。</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人力资源和社会保障部门、邮政管理部门按照职责分工管理实施职称评审工作、职业技能等级认定工作和快递从业人员职业技能培训，提升从业人员素质和技能。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邮政企业、快递企业应当对其从业人员加强法律法规、职业操守、服务规范、作业规范、安全生产、车辆安全驾驶等方面的教育和培训。</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人力资源和社会保障部门、邮政管理部门、工会等按照各自职责依法保障邮政企业、快递企业从业人员合法权益。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邮政企业、快递企业应当依法与其从业人员订立劳动合同，按时足额支付劳动报酬、缴纳社会保险费。鼓励企业根据实际情况为从业人员投保意外伤害等商业保险。</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依法成立的快递行业协会，依照法律、法规及其章程规定，制定快递行业规范，加强行业自律，为企业提供信息、培训等方面的服务，促进快递行业的健康发展。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安全保障"/>
      <w:bookmarkEnd w:id="49"/>
      <w:r>
        <w:rPr>
          <w:rFonts w:ascii="Times New Roman" w:eastAsia="黑体" w:hAnsi="Times New Roman" w:cs="黑体" w:hint="eastAsia"/>
          <w:szCs w:val="32"/>
        </w:rPr>
        <w:t>第六章　安全保障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邮政企业、快递企业应当遵守安全生产的法律、法规，落实安全生产主体责任，建立健全全员安全生产责任制，加强安全生产管理和安全防范、风险排查和隐患治理。</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依法制定突发事件应急预案，定期开展突发事件应急演练；发生重大服务阻断和安全事故时，应当按照应急预案，及时、妥善处理，并立即向所在地邮政管理部门和负有相关职责的部门报告。</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邮政企业、快递企业应当依法建立并执行邮件、快件实名收寄制度。对寄件人身份进行查验，使用符合国家要求的实名收寄信息系统对寄件人身份和交寄物品进行信息登记。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邮政企业、快递企业应当依法建立并严格执行收寄验视制度。对寄件人交寄的物品，经验视符合寄递要求的，应当作出验视标识，载明验视人员的姓名或者工号。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对于寄件人未按要求实名登记、拒绝验视或者交寄禁止寄递的物品的，邮政企业、快递企业应当拒绝收寄。</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邮政企业、快递企业或者接受委托的第三方企业应当按照规定使用符合强制性国家标准的安全检查设备对邮件、快件进行安全检查。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委托第三方企业对寄递物品进行安全检查的，不免除邮政企业、快递企业对邮件、快件安全承担的责任。</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邮政企业、快递企业应当依照法律、行政法规以及国家有关规定，建立健全信息安全保障制度，防止信息泄露、毁损、丢失。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发生或者可能发生用户信息泄露、丢失等情况的，邮政企业、快递企业应当立即采取补救措施，并向所在地邮政管理部门报告。</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邮政企业、快递企业为网络购物、电视购物、邮购等寄件人长期、批量提供寄递服务的，应当与寄件人签订安全协议，并将与其签订安全协议的用户名单送所在地邮政管理部门备案。</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（一）擅自迁移或者损毁邮政信筒（箱）、邮政报刊亭等邮政设施；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（二）擅自开启、封闭邮政信筒（箱）或者向邮政信筒（箱）内投放易燃、易爆、腐蚀性物品或者其他杂物；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（三）在邮政出入通道设摊、堆物，妨害用邮或者影响运邮车辆通行；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（四）影响邮政设施正常使用的其他违法行为。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任何单位和个人对破坏邮政设施、危害邮政通信安全的行为有权予以制止、举报。</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监督管理"/>
      <w:bookmarkEnd w:id="57"/>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邮政管理部门应当建立健全监督检查制度，依法对邮政普遍服务和邮政市场进行监督检查。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邮政管理部门发现邮政企业、快递企业存在寄递安全隐患、寄递服务质量问题、严重失信行为等情况，可以约谈其负责人，责令其进行整改。</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邮政管理部门应当组织或者委托评价机构开展邮政企业、快递企业服务质量评价，并将评价结果向社会公布。</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邮政企业应当建立和完善邮政普遍服务质量自查机制，定期将邮政普遍服务质量自查结果报送邮政管理部门。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邮政企业、快递企业应当按照邮政管理部门的要求报送有关经营情况和统计资料，确保有关数据真实、完整。</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邮政企业、快递企业应当向社会公布监督电话，接受用户监督。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用户对服务质量存在异议的，可以向邮政企业、快递企业投诉。邮政企业、快递企业应当自接到投诉之日起七日内予以处理并告知用户。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用户投诉后七日内未得到答复，或者对处理结果不满意的，可以向邮政管理部门申诉。邮政管理部门应当自接到用户申诉之日起三十日内作出答复。</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邮政管理部门负责本行政区域内集邮票品集中交易市场、单位或者个人经营集邮票品以及邮票印制与销售的监督管理。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八章 法律责任"/>
      <w:bookmarkEnd w:id="63"/>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违反本条例规定，经营快递业务的企业有下列行为之一的，由邮政管理部门责令改正，给予警告或者通报批评，可以并处一万元以下的罚款；情节严重的，处一万元以上三万元以下的罚款：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（一）未经用户同意代为确认收到快件的；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（二）未经用户同意将快件投递到智能快件箱、快递服务站等快递末端服务设施的；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（三）抛扔快件、踩踏快件的。</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违反本条例规定，邮政企业未按照规定向邮政管理部门报送邮政普遍服务质量自查结果的，由邮政管理部门责令限期改正，可以给予警告；逾期不改正的，处三千元以上一万元以下的罚款。</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邮政管理部门和其他有关部门的工作人员在监督管理工作中滥用职权、玩忽职守、徇私舞弊的，依法给予处分；构成犯罪的，依法追究刑事责任。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九章 附则"/>
      <w:bookmarkEnd w:id="67"/>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七条"/>
      <w:bookmarkEnd w:id="68"/>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