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青海省实施《中华人民共和国母婴保健法》办法"/>
      <w:bookmarkEnd w:id="0"/>
      <w:r>
        <w:rPr>
          <w:rFonts w:hint="eastAsia" w:ascii="方正小标宋简体" w:hAnsi="方正小标宋简体" w:eastAsia="方正小标宋简体" w:cs="方正小标宋简体"/>
          <w:color w:val="333333"/>
          <w:sz w:val="44"/>
          <w:szCs w:val="44"/>
          <w:shd w:val="clear" w:color="auto" w:fill="FFFFFF"/>
        </w:rPr>
        <w:t>青海省实施《中华人民共和国</w:t>
      </w:r>
      <w:r>
        <w:rPr>
          <w:rFonts w:hint="eastAsia" w:ascii="方正小标宋简体" w:hAnsi="方正小标宋简体" w:eastAsia="方正小标宋简体" w:cs="方正小标宋简体"/>
          <w:color w:val="333333"/>
          <w:sz w:val="44"/>
          <w:szCs w:val="44"/>
          <w:shd w:val="clear" w:color="auto" w:fill="FFFFFF"/>
        </w:rPr>
        <w:br w:type="textWrapping"/>
      </w:r>
      <w:bookmarkStart w:id="49" w:name="_GoBack"/>
      <w:bookmarkEnd w:id="49"/>
      <w:r>
        <w:rPr>
          <w:rFonts w:hint="eastAsia" w:ascii="方正小标宋简体" w:hAnsi="方正小标宋简体" w:eastAsia="方正小标宋简体" w:cs="方正小标宋简体"/>
          <w:color w:val="333333"/>
          <w:sz w:val="44"/>
          <w:szCs w:val="44"/>
          <w:shd w:val="clear" w:color="auto" w:fill="FFFFFF"/>
        </w:rPr>
        <w:t>母婴保健法》办法</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（2002年12月3日青海省第九届人民代表大会常务委员会第三十三次会议通过　根据2019年7月31日青海省第十三届人民代表大会常务委员会第十一次会议《关于修改〈青海省儿童计划免疫条例〉等七部地方性法规的决定》第一次修正　根据2020年7月22日青海省第十三届人民代表大会常务委员会第十八次会议《关于修改〈青海省预算管理条例〉等五十四部地方性法规的决定》第二次修正　根据2022年11月29日青海省第十三届人民代表大会常务委员会第三十六次会议《关于修改〈青海省邮政条例〉等五部地方性法规的决定》第三次修正　根据2024年11月27日青海省第十四届人民代表大会常务委员会第十一次会议《关于修改和废止部分地方性法规的决定》第四次修正）</w:t>
      </w:r>
    </w:p>
    <w:p>
      <w:pPr>
        <w:rPr>
          <w:rFonts w:ascii="Times New Roman" w:hAnsi="Times New Roman" w:eastAsia="宋体" w:cs="宋体"/>
          <w:szCs w:val="32"/>
        </w:rPr>
      </w:pPr>
    </w:p>
    <w:p>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行政管理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婚前保健</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孕产期保健</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婴幼儿保健</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医学技术鉴定</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附　　则</w:t>
      </w:r>
    </w:p>
    <w:p>
      <w:pPr>
        <w:rPr>
          <w:rFonts w:ascii="Times New Roman" w:hAnsi="Times New Roman" w:eastAsia="宋体" w:cs="宋体"/>
          <w:szCs w:val="32"/>
        </w:rPr>
      </w:pPr>
    </w:p>
    <w:p>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为了保障母亲和婴儿健康，提高出生人口素质，根据《中华人民共和国母婴保健法》和有关法律、法规，结合本省实际，制定本办法。</w:t>
      </w:r>
    </w:p>
    <w:p>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在本省行政区域内从事母婴保健管理工作和相关技术服务等活动应当遵守本办法。</w:t>
      </w:r>
    </w:p>
    <w:p>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各级人民政府应当加强对母婴保健工作的领导，将母婴保健事业纳入本地区国民经济和社会发展计划，逐步增加对母婴保健事业的投入，建立健全母婴保健技术服务网络，采取具体措施，支持并帮助少数民族地区和脱贫地区发展母婴保健事业。</w:t>
      </w:r>
    </w:p>
    <w:p>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县级以上人民政府应当根据本地区的实际情况和需要，设立母婴保健事业发展专项资金，主要用于母婴保健知识宣传教育、科学研究和先进、实用技术推广，扶持少数民族地区和脱贫地区的母婴保健事业。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鼓励社会力量采取捐资、投资等方式发展母婴保健事业。</w:t>
      </w:r>
    </w:p>
    <w:p>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全社会都应当重视母婴保健宣传教育工作，普及母婴保健知识。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新闻媒体对母婴保健事业的公益性广告，应当无偿播放或者刊载。</w:t>
      </w:r>
    </w:p>
    <w:p>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从事母婴保健工作的人员，应当遵守职业道德，为当事人保守秘密。</w:t>
      </w:r>
    </w:p>
    <w:p>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对在母婴保健工作中做出显著成绩的单位或者个人，由县级以上人民政府或者卫生健康行政部门给予表彰或者奖励。</w:t>
      </w:r>
    </w:p>
    <w:p>
      <w:pPr>
        <w:rPr>
          <w:rFonts w:ascii="Times New Roman" w:hAnsi="Times New Roman" w:eastAsia="宋体" w:cs="宋体"/>
          <w:szCs w:val="32"/>
        </w:rPr>
      </w:pPr>
    </w:p>
    <w:p>
      <w:pPr>
        <w:jc w:val="center"/>
        <w:rPr>
          <w:rFonts w:ascii="Times New Roman" w:hAnsi="Times New Roman" w:eastAsia="黑体" w:cs="黑体"/>
          <w:szCs w:val="32"/>
        </w:rPr>
      </w:pPr>
      <w:bookmarkStart w:id="11" w:name="第二章 行政管理"/>
      <w:bookmarkEnd w:id="11"/>
      <w:r>
        <w:rPr>
          <w:rFonts w:hint="eastAsia" w:ascii="Times New Roman" w:hAnsi="Times New Roman" w:eastAsia="黑体" w:cs="黑体"/>
          <w:szCs w:val="32"/>
        </w:rPr>
        <w:t>第二章　行政管理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县级以上人民政府卫生健康行政部门主管本行政区域内的母婴保健工作；民政、人力资源社会保障等部门在各自的职责范围内，配合卫生健康行政部门做好母婴保健工作。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县级人民政府卫生健康行政部门应当扶助、支持乡镇医疗保健机构开展母婴保健工作。</w:t>
      </w:r>
    </w:p>
    <w:p>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机关、团体、企业事业单位及其他组织、村民委员会、居民委员会，应当协助卫生健康行政部门做好母婴保健工作。</w:t>
      </w:r>
    </w:p>
    <w:p>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实行母婴保健技术服务执业许可证制度。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婚前医学检查、遗传病诊断、产前诊断以及施行终止妊娠手术、结扎手术、助产技术服务的医疗保健机构和人员，必须按下列规定取得《母婴保健技术服务执业许可证》或者《母婴保健技术考核合格证书》后，方可从事相应的技术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（一）施行终止妊娠手术、结扎手术和助产技术服务的，由县级人民政府卫生健康行政部门审批；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（二）开展婚前医学检查的，由县级人民政府卫生健康行政部门审批；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（三）开展遗传病诊断、产前诊断的医疗保健机构和人员，由省人民政府卫生健康行政部门审批；但是，从事产前诊断中产前筛查的医疗保健机构，由县级人民政府卫生健康行政部门审批。</w:t>
      </w:r>
    </w:p>
    <w:p>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经批准从事婚前医学检查、遗传病诊断、产前诊断以及施行终止妊娠手术、结扎手术、助产技术服务的医疗保健机构，由批准机关向社会公布。</w:t>
      </w:r>
    </w:p>
    <w:p>
      <w:pPr>
        <w:rPr>
          <w:rFonts w:ascii="Times New Roman" w:hAnsi="Times New Roman" w:eastAsia="宋体" w:cs="宋体"/>
          <w:szCs w:val="32"/>
        </w:rPr>
      </w:pPr>
    </w:p>
    <w:p>
      <w:pPr>
        <w:jc w:val="center"/>
        <w:rPr>
          <w:rFonts w:ascii="Times New Roman" w:hAnsi="Times New Roman" w:eastAsia="黑体" w:cs="黑体"/>
          <w:szCs w:val="32"/>
        </w:rPr>
      </w:pPr>
      <w:bookmarkStart w:id="16" w:name="第三章 婚前保健"/>
      <w:bookmarkEnd w:id="16"/>
      <w:r>
        <w:rPr>
          <w:rFonts w:hint="eastAsia" w:ascii="Times New Roman" w:hAnsi="Times New Roman" w:eastAsia="黑体" w:cs="黑体"/>
          <w:szCs w:val="32"/>
        </w:rPr>
        <w:t>第三章　婚前保健</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7" w:name="第十二条"/>
      <w:bookmarkEnd w:id="17"/>
      <w:r>
        <w:rPr>
          <w:rFonts w:hint="eastAsia" w:ascii="Times New Roman" w:hAnsi="Times New Roman" w:eastAsia="黑体" w:cs="黑体"/>
          <w:sz w:val="32"/>
          <w:szCs w:val="32"/>
        </w:rPr>
        <w:t>第十二条</w:t>
      </w:r>
      <w:r>
        <w:rPr>
          <w:rFonts w:hint="eastAsia" w:ascii="Times New Roman" w:hAnsi="Times New Roman" w:cs="仿宋_GB2312"/>
          <w:sz w:val="32"/>
          <w:szCs w:val="32"/>
        </w:rPr>
        <w:t>　医疗保健机构应当开展婚前卫生指导、生殖健康咨询和婚前医学检查。婚前医学检查应当按照国家规定的项目和标准进行。</w:t>
      </w:r>
    </w:p>
    <w:p>
      <w:pPr>
        <w:ind w:firstLine="632" w:firstLineChars="200"/>
        <w:rPr>
          <w:rFonts w:ascii="Times New Roman" w:hAnsi="Times New Roman" w:cs="仿宋_GB2312"/>
          <w:sz w:val="32"/>
          <w:szCs w:val="32"/>
        </w:rPr>
      </w:pPr>
      <w:bookmarkStart w:id="18" w:name="第十三条"/>
      <w:bookmarkEnd w:id="18"/>
      <w:r>
        <w:rPr>
          <w:rFonts w:hint="eastAsia" w:ascii="Times New Roman" w:hAnsi="Times New Roman" w:eastAsia="黑体" w:cs="黑体"/>
          <w:sz w:val="32"/>
          <w:szCs w:val="32"/>
        </w:rPr>
        <w:t>第十三条</w:t>
      </w:r>
      <w:r>
        <w:rPr>
          <w:rFonts w:hint="eastAsia" w:ascii="Times New Roman" w:hAnsi="Times New Roman" w:cs="仿宋_GB2312"/>
          <w:sz w:val="32"/>
          <w:szCs w:val="32"/>
        </w:rPr>
        <w:t>　推行婚前医学检查制度。实行婚前医学检查的地区，准备结婚的男女双方应当到医疗保健机构进行婚前医学检查。</w:t>
      </w:r>
    </w:p>
    <w:p>
      <w:pPr>
        <w:ind w:firstLine="632" w:firstLineChars="200"/>
        <w:rPr>
          <w:rFonts w:ascii="Times New Roman" w:hAnsi="Times New Roman" w:cs="仿宋_GB2312"/>
          <w:sz w:val="32"/>
          <w:szCs w:val="32"/>
        </w:rPr>
      </w:pPr>
      <w:bookmarkStart w:id="19" w:name="第十四条"/>
      <w:bookmarkEnd w:id="19"/>
      <w:r>
        <w:rPr>
          <w:rFonts w:hint="eastAsia" w:ascii="Times New Roman" w:hAnsi="Times New Roman" w:eastAsia="黑体" w:cs="黑体"/>
          <w:sz w:val="32"/>
          <w:szCs w:val="32"/>
        </w:rPr>
        <w:t>第十四条</w:t>
      </w:r>
      <w:r>
        <w:rPr>
          <w:rFonts w:hint="eastAsia" w:ascii="Times New Roman" w:hAnsi="Times New Roman" w:cs="仿宋_GB2312"/>
          <w:sz w:val="32"/>
          <w:szCs w:val="32"/>
        </w:rPr>
        <w:t>　经婚前医学检查，有下列情形之一的，医师应当提出医学意见；准备结婚的男女双方应当暂缓结婚：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（一）患艾滋病、淋病、梅毒、麻风病以及省级以上人民政府卫生健康行政部门规定的其他传染病在传染期内的；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（二）精神分裂症、躁狂抑郁型精神病以及其他重型精神病在发病期内的。</w:t>
      </w:r>
    </w:p>
    <w:p>
      <w:pPr>
        <w:ind w:firstLine="632" w:firstLineChars="200"/>
        <w:rPr>
          <w:rFonts w:ascii="Times New Roman" w:hAnsi="Times New Roman" w:cs="仿宋_GB2312"/>
          <w:sz w:val="32"/>
          <w:szCs w:val="32"/>
        </w:rPr>
      </w:pPr>
      <w:bookmarkStart w:id="20" w:name="第十五条"/>
      <w:bookmarkEnd w:id="20"/>
      <w:r>
        <w:rPr>
          <w:rFonts w:hint="eastAsia" w:ascii="Times New Roman" w:hAnsi="Times New Roman" w:eastAsia="黑体" w:cs="黑体"/>
          <w:sz w:val="32"/>
          <w:szCs w:val="32"/>
        </w:rPr>
        <w:t>第十五条</w:t>
      </w:r>
      <w:r>
        <w:rPr>
          <w:rFonts w:hint="eastAsia" w:ascii="Times New Roman" w:hAnsi="Times New Roman" w:cs="仿宋_GB2312"/>
          <w:sz w:val="32"/>
          <w:szCs w:val="32"/>
        </w:rPr>
        <w:t>　经婚前医学检查，发现患有医学上认为不宜生育的严重遗传性疾病的，医疗保健机构应当提出不宜生育的医学意见。</w:t>
      </w:r>
    </w:p>
    <w:p>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婚前医学检查可以收取必要的费用。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享受最低生活保障待遇的城镇居民和农村、牧区的易返贫致贫人口，可以减免婚前医学检查费用。</w:t>
      </w:r>
    </w:p>
    <w:p>
      <w:pPr>
        <w:rPr>
          <w:rFonts w:ascii="Times New Roman" w:hAnsi="Times New Roman" w:eastAsia="宋体" w:cs="宋体"/>
          <w:szCs w:val="32"/>
        </w:rPr>
      </w:pPr>
    </w:p>
    <w:p>
      <w:pPr>
        <w:jc w:val="center"/>
        <w:rPr>
          <w:rFonts w:ascii="Times New Roman" w:hAnsi="Times New Roman" w:eastAsia="黑体" w:cs="黑体"/>
          <w:szCs w:val="32"/>
        </w:rPr>
      </w:pPr>
      <w:bookmarkStart w:id="22" w:name="第四章 孕产期保健"/>
      <w:bookmarkEnd w:id="22"/>
      <w:r>
        <w:rPr>
          <w:rFonts w:hint="eastAsia" w:ascii="Times New Roman" w:hAnsi="Times New Roman" w:eastAsia="黑体" w:cs="黑体"/>
          <w:szCs w:val="32"/>
        </w:rPr>
        <w:t>第四章　孕产期保健</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医疗保健机构应当为孕产妇提供孕产期保健服务；应当把流动人口中的孕产妇纳入服务范围。</w:t>
      </w:r>
    </w:p>
    <w:p>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孕妇有下列情形之一的，医师应当对其进行产前诊断：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（一）羊水过多或者过少的；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（二）胎儿发育异常或者可能有畸形的；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（三）孕早期接触过可能导致胎儿先天性缺陷的物质的；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（四）有遗传病家族史或者分娩过先天性严重缺陷婴儿的；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（五）初产妇年龄超过35周岁的；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（六）省人民政府卫生健康行政部门规定的其他情形。</w:t>
      </w:r>
    </w:p>
    <w:p>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经产前诊断，发现有下列情形之一的，医师应当向夫妻双方说明情况，并提出终止妊娠的医学意见：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（一）胎儿患严重遗传性疾病的；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（二）胎儿有严重缺陷的；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（三）因患严重疾病，继续妊娠可能危及孕妇生命安全或者严重危害孕妇健康的。</w:t>
      </w:r>
    </w:p>
    <w:p>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生育过严重缺陷患儿的妇女再次妊娠前，夫妻双方应当到县级以上医疗保健机构接受医学检查。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经医学检查认为不宜生育的，医疗保健机构应当向当事人说明情况，提出医学意见。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依法实行终止妊娠或者结扎手术的，接受免费服务。</w:t>
      </w:r>
    </w:p>
    <w:p>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严禁采用技术手段对胎儿进行非医学需要的性别鉴定。</w:t>
      </w:r>
    </w:p>
    <w:p>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逐步推行孕产妇住院分娩制度，降低孕产妇和新生儿发病率、死亡率。对享受最低生活保障待遇的城镇居民和农村、牧区的易返贫致贫人口住院分娩的，可以减免费用。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不具备住院分娩条件地区的孕产妇，应当由经过培训合格的人员实行消毒接生。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高危孕产妇应当在医疗保健机构住院分娩。</w:t>
      </w:r>
    </w:p>
    <w:p>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用人单位应当遵守国家有关女职工劳动保护的规定，不得损害女职工在孕期、产期和哺乳期的合法权益。</w:t>
      </w:r>
    </w:p>
    <w:p>
      <w:pPr>
        <w:rPr>
          <w:rFonts w:ascii="Times New Roman" w:hAnsi="Times New Roman" w:eastAsia="宋体" w:cs="宋体"/>
          <w:szCs w:val="32"/>
        </w:rPr>
      </w:pPr>
    </w:p>
    <w:p>
      <w:pPr>
        <w:jc w:val="center"/>
        <w:rPr>
          <w:rFonts w:ascii="Times New Roman" w:hAnsi="Times New Roman" w:eastAsia="黑体" w:cs="黑体"/>
          <w:szCs w:val="32"/>
        </w:rPr>
      </w:pPr>
      <w:bookmarkStart w:id="30" w:name="第五章 婴幼儿保健"/>
      <w:bookmarkEnd w:id="30"/>
      <w:r>
        <w:rPr>
          <w:rFonts w:hint="eastAsia" w:ascii="Times New Roman" w:hAnsi="Times New Roman" w:eastAsia="黑体" w:cs="黑体"/>
          <w:szCs w:val="32"/>
        </w:rPr>
        <w:t>第五章　婴幼儿保健</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31" w:name="第二十四条"/>
      <w:bookmarkEnd w:id="31"/>
      <w:r>
        <w:rPr>
          <w:rFonts w:hint="eastAsia" w:ascii="Times New Roman" w:hAnsi="Times New Roman" w:eastAsia="黑体" w:cs="黑体"/>
          <w:sz w:val="32"/>
          <w:szCs w:val="32"/>
        </w:rPr>
        <w:t>第二十四条</w:t>
      </w:r>
      <w:r>
        <w:rPr>
          <w:rFonts w:hint="eastAsia" w:ascii="Times New Roman" w:hAnsi="Times New Roman" w:cs="仿宋_GB2312"/>
          <w:sz w:val="32"/>
          <w:szCs w:val="32"/>
        </w:rPr>
        <w:t>　推行母婴保健保偿制度。开展母婴保健保偿的医疗保健机构应当与投保人签定保健保偿服务合同，明确双方的权利、义务和责任以及保健服务内容、保偿范围和赔偿金额。</w:t>
      </w:r>
    </w:p>
    <w:p>
      <w:pPr>
        <w:ind w:firstLine="632" w:firstLineChars="200"/>
        <w:rPr>
          <w:rFonts w:ascii="Times New Roman" w:hAnsi="Times New Roman" w:cs="仿宋_GB2312"/>
          <w:sz w:val="32"/>
          <w:szCs w:val="32"/>
        </w:rPr>
      </w:pPr>
      <w:bookmarkStart w:id="32" w:name="第二十五条"/>
      <w:bookmarkEnd w:id="32"/>
      <w:r>
        <w:rPr>
          <w:rFonts w:hint="eastAsia" w:ascii="Times New Roman" w:hAnsi="Times New Roman" w:eastAsia="黑体" w:cs="黑体"/>
          <w:sz w:val="32"/>
          <w:szCs w:val="32"/>
        </w:rPr>
        <w:t>第二十五条</w:t>
      </w:r>
      <w:r>
        <w:rPr>
          <w:rFonts w:hint="eastAsia" w:ascii="Times New Roman" w:hAnsi="Times New Roman" w:cs="仿宋_GB2312"/>
          <w:sz w:val="32"/>
          <w:szCs w:val="32"/>
        </w:rPr>
        <w:t>　医疗保健机构应当为新生儿办理儿童保健登记，建立儿童保健手册，并提供下列保健服务：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（一）母乳喂养宣传，母乳喂养、婴儿营养和早期智力开发指导的咨询；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（二）婴儿健康检查和生长发育监测，体弱婴儿保健；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（三）婴幼儿预防接种；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（四）新生儿疾病筛查、诊治；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（五）婴儿口腔、眼、耳及心理保健；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（六）防治常见病、多发病和传染病。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享受最低生活保障待遇的城镇居民和农村、牧区易返贫致贫人口的新生儿进行疾病筛查，可以减免费用。</w:t>
      </w:r>
    </w:p>
    <w:p>
      <w:pPr>
        <w:ind w:firstLine="632" w:firstLineChars="200"/>
        <w:rPr>
          <w:rFonts w:ascii="Times New Roman" w:hAnsi="Times New Roman" w:cs="仿宋_GB2312"/>
          <w:sz w:val="32"/>
          <w:szCs w:val="32"/>
        </w:rPr>
      </w:pPr>
      <w:bookmarkStart w:id="33" w:name="第二十六条"/>
      <w:bookmarkEnd w:id="33"/>
      <w:r>
        <w:rPr>
          <w:rFonts w:hint="eastAsia" w:ascii="Times New Roman" w:hAnsi="Times New Roman" w:eastAsia="黑体" w:cs="黑体"/>
          <w:sz w:val="32"/>
          <w:szCs w:val="32"/>
        </w:rPr>
        <w:t>第二十六条</w:t>
      </w:r>
      <w:r>
        <w:rPr>
          <w:rFonts w:hint="eastAsia" w:ascii="Times New Roman" w:hAnsi="Times New Roman" w:cs="仿宋_GB2312"/>
          <w:sz w:val="32"/>
          <w:szCs w:val="32"/>
        </w:rPr>
        <w:t>　医疗保健机构应当按规定将新生儿出生、孕产妇死亡、新生儿死亡和新生儿出生缺陷的有关情况，向当地卫生健康行政部门或者有关部门报告。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新生儿出生时，接生人员应当记录新生儿出生情况。住院分娩的，医疗保健机构应当出具国家统一制发的新生儿《出生医学证明》；家庭接生的，由所在乡级医疗保健机构出具新生儿《出生医学证明》。</w:t>
      </w:r>
    </w:p>
    <w:p>
      <w:pPr>
        <w:ind w:firstLine="632" w:firstLineChars="200"/>
        <w:rPr>
          <w:rFonts w:ascii="Times New Roman" w:hAnsi="Times New Roman" w:cs="仿宋_GB2312"/>
          <w:sz w:val="32"/>
          <w:szCs w:val="32"/>
        </w:rPr>
      </w:pPr>
      <w:bookmarkStart w:id="34" w:name="第二十七条"/>
      <w:bookmarkEnd w:id="34"/>
      <w:r>
        <w:rPr>
          <w:rFonts w:hint="eastAsia" w:ascii="Times New Roman" w:hAnsi="Times New Roman" w:eastAsia="黑体" w:cs="黑体"/>
          <w:sz w:val="32"/>
          <w:szCs w:val="32"/>
        </w:rPr>
        <w:t>第二十七条</w:t>
      </w:r>
      <w:r>
        <w:rPr>
          <w:rFonts w:hint="eastAsia" w:ascii="Times New Roman" w:hAnsi="Times New Roman" w:cs="仿宋_GB2312"/>
          <w:sz w:val="32"/>
          <w:szCs w:val="32"/>
        </w:rPr>
        <w:t>　托幼机构应当依照国家的有关规定，取得卫生保健合格证，实行婴幼儿保健管理制度。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托幼机构的工作人员应当定期进行健康检查。健康检查不合格的人员，不得从事托幼工作。婴幼儿患有传染性疾病的，传染期内不得进入托幼场所。</w:t>
      </w:r>
    </w:p>
    <w:p>
      <w:pPr>
        <w:rPr>
          <w:rFonts w:ascii="Times New Roman" w:hAnsi="Times New Roman" w:eastAsia="宋体" w:cs="宋体"/>
          <w:szCs w:val="32"/>
        </w:rPr>
      </w:pPr>
    </w:p>
    <w:p>
      <w:pPr>
        <w:jc w:val="center"/>
        <w:rPr>
          <w:rFonts w:ascii="Times New Roman" w:hAnsi="Times New Roman" w:eastAsia="黑体" w:cs="黑体"/>
          <w:szCs w:val="32"/>
        </w:rPr>
      </w:pPr>
      <w:bookmarkStart w:id="35" w:name="第六章 医学技术鉴定"/>
      <w:bookmarkEnd w:id="35"/>
      <w:r>
        <w:rPr>
          <w:rFonts w:hint="eastAsia" w:ascii="Times New Roman" w:hAnsi="Times New Roman" w:eastAsia="黑体" w:cs="黑体"/>
          <w:szCs w:val="32"/>
        </w:rPr>
        <w:t>第六章　医学技术鉴定</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36" w:name="第二十八条"/>
      <w:bookmarkEnd w:id="36"/>
      <w:r>
        <w:rPr>
          <w:rFonts w:hint="eastAsia" w:ascii="Times New Roman" w:hAnsi="Times New Roman" w:eastAsia="黑体" w:cs="黑体"/>
          <w:sz w:val="32"/>
          <w:szCs w:val="32"/>
        </w:rPr>
        <w:t>第二十八条</w:t>
      </w:r>
      <w:r>
        <w:rPr>
          <w:rFonts w:hint="eastAsia" w:ascii="Times New Roman" w:hAnsi="Times New Roman" w:cs="仿宋_GB2312"/>
          <w:sz w:val="32"/>
          <w:szCs w:val="32"/>
        </w:rPr>
        <w:t>　县级以上人民政府设立母婴保健医学技术鉴定委员会，负责本行政区域内有异议的婚前医学检查、遗传病诊断和产前诊断的医学技术鉴定工作。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医学技术鉴定委员会组成人员由卫生健康行政部门提名，经同级人民政府聘任并报上一级人民政府卫生健康行政部门备案。</w:t>
      </w:r>
    </w:p>
    <w:p>
      <w:pPr>
        <w:ind w:firstLine="632" w:firstLineChars="200"/>
        <w:rPr>
          <w:rFonts w:ascii="Times New Roman" w:hAnsi="Times New Roman" w:cs="仿宋_GB2312"/>
          <w:sz w:val="32"/>
          <w:szCs w:val="32"/>
        </w:rPr>
      </w:pPr>
      <w:bookmarkStart w:id="37" w:name="第二十九条"/>
      <w:bookmarkEnd w:id="37"/>
      <w:r>
        <w:rPr>
          <w:rFonts w:hint="eastAsia" w:ascii="Times New Roman" w:hAnsi="Times New Roman" w:eastAsia="黑体" w:cs="黑体"/>
          <w:sz w:val="32"/>
          <w:szCs w:val="32"/>
        </w:rPr>
        <w:t>第二十九条</w:t>
      </w:r>
      <w:r>
        <w:rPr>
          <w:rFonts w:hint="eastAsia" w:ascii="Times New Roman" w:hAnsi="Times New Roman" w:cs="仿宋_GB2312"/>
          <w:sz w:val="32"/>
          <w:szCs w:val="32"/>
        </w:rPr>
        <w:t>　当事人对婚前医学检查、遗传病诊断、产前诊断的结果有异议的，可以在接到诊断结果之日起15日内向所在地母婴保健医学技术鉴定委员会提出书面鉴定申请。母婴保健医学技术鉴定委员会自接到鉴定申请之日起，应当在30日内作出医学技术鉴定结论，如有特殊情况，最长不得超过90日。</w:t>
      </w:r>
    </w:p>
    <w:p>
      <w:pPr>
        <w:ind w:firstLine="632" w:firstLineChars="200"/>
        <w:rPr>
          <w:rFonts w:ascii="Times New Roman" w:hAnsi="Times New Roman" w:cs="仿宋_GB2312"/>
          <w:sz w:val="32"/>
          <w:szCs w:val="32"/>
        </w:rPr>
      </w:pPr>
      <w:bookmarkStart w:id="38" w:name="第三十条"/>
      <w:bookmarkEnd w:id="38"/>
      <w:r>
        <w:rPr>
          <w:rFonts w:hint="eastAsia" w:ascii="Times New Roman" w:hAnsi="Times New Roman" w:eastAsia="黑体" w:cs="黑体"/>
          <w:sz w:val="32"/>
          <w:szCs w:val="32"/>
        </w:rPr>
        <w:t>第三十条</w:t>
      </w:r>
      <w:r>
        <w:rPr>
          <w:rFonts w:hint="eastAsia" w:ascii="Times New Roman" w:hAnsi="Times New Roman" w:cs="仿宋_GB2312"/>
          <w:sz w:val="32"/>
          <w:szCs w:val="32"/>
        </w:rPr>
        <w:t>　当事人对医学技术鉴定结论有异议的，可以在接到鉴定结论通知书之日起15日内向上一级母婴保健医学技术鉴定委员会申请重新鉴定。</w:t>
      </w:r>
    </w:p>
    <w:p>
      <w:pPr>
        <w:ind w:firstLine="632" w:firstLineChars="200"/>
        <w:rPr>
          <w:rFonts w:ascii="Times New Roman" w:hAnsi="Times New Roman" w:cs="仿宋_GB2312"/>
          <w:sz w:val="32"/>
          <w:szCs w:val="32"/>
        </w:rPr>
      </w:pPr>
      <w:bookmarkStart w:id="39" w:name="第三十一条"/>
      <w:bookmarkEnd w:id="39"/>
      <w:r>
        <w:rPr>
          <w:rFonts w:hint="eastAsia" w:ascii="Times New Roman" w:hAnsi="Times New Roman" w:eastAsia="黑体" w:cs="黑体"/>
          <w:sz w:val="32"/>
          <w:szCs w:val="32"/>
        </w:rPr>
        <w:t>第三十一条</w:t>
      </w:r>
      <w:r>
        <w:rPr>
          <w:rFonts w:hint="eastAsia" w:ascii="Times New Roman" w:hAnsi="Times New Roman" w:cs="仿宋_GB2312"/>
          <w:sz w:val="32"/>
          <w:szCs w:val="32"/>
        </w:rPr>
        <w:t>　母婴保健医学技术鉴定委员会成员与申请鉴定的当事人有利害关系的应当回避。</w:t>
      </w:r>
    </w:p>
    <w:p>
      <w:pPr>
        <w:rPr>
          <w:rFonts w:ascii="Times New Roman" w:hAnsi="Times New Roman" w:eastAsia="宋体" w:cs="宋体"/>
          <w:szCs w:val="32"/>
        </w:rPr>
      </w:pPr>
    </w:p>
    <w:p>
      <w:pPr>
        <w:jc w:val="center"/>
        <w:rPr>
          <w:rFonts w:ascii="Times New Roman" w:hAnsi="Times New Roman" w:eastAsia="黑体" w:cs="黑体"/>
          <w:szCs w:val="32"/>
        </w:rPr>
      </w:pPr>
      <w:bookmarkStart w:id="40" w:name="第七章 法律责任"/>
      <w:bookmarkEnd w:id="40"/>
      <w:r>
        <w:rPr>
          <w:rFonts w:hint="eastAsia" w:ascii="Times New Roman" w:hAnsi="Times New Roman" w:eastAsia="黑体" w:cs="黑体"/>
          <w:szCs w:val="32"/>
        </w:rPr>
        <w:t>第七章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1" w:name="第三十二条"/>
      <w:bookmarkEnd w:id="41"/>
      <w:r>
        <w:rPr>
          <w:rFonts w:hint="eastAsia" w:ascii="Times New Roman" w:hAnsi="Times New Roman" w:eastAsia="黑体" w:cs="黑体"/>
          <w:sz w:val="32"/>
          <w:szCs w:val="32"/>
        </w:rPr>
        <w:t>第三十二条</w:t>
      </w:r>
      <w:r>
        <w:rPr>
          <w:rFonts w:hint="eastAsia" w:ascii="Times New Roman" w:hAnsi="Times New Roman" w:cs="仿宋_GB2312"/>
          <w:sz w:val="32"/>
          <w:szCs w:val="32"/>
        </w:rPr>
        <w:t>　医疗保健机构或者人员未取得母婴保健技术许可，擅自从事婚前医学检查、遗传病诊断、产前诊断、终止妊娠手术和医学技术鉴定或者出具有关医学证明的，由县级人民政府卫生健康行政部门给予警告，责令停止违法行为，没收违法所得；违法所得五千元以上的，并处违法所得三倍以上五倍以下的罚款；没有违法所得或者违法所得不足五千元的，并处五千元以上二万元以下的罚款。</w:t>
      </w:r>
    </w:p>
    <w:p>
      <w:pPr>
        <w:ind w:firstLine="632" w:firstLineChars="200"/>
        <w:rPr>
          <w:rFonts w:ascii="Times New Roman" w:hAnsi="Times New Roman" w:cs="仿宋_GB2312"/>
          <w:sz w:val="32"/>
          <w:szCs w:val="32"/>
        </w:rPr>
      </w:pPr>
      <w:bookmarkStart w:id="42" w:name="第三十三条"/>
      <w:bookmarkEnd w:id="42"/>
      <w:r>
        <w:rPr>
          <w:rFonts w:hint="eastAsia" w:ascii="Times New Roman" w:hAnsi="Times New Roman" w:eastAsia="黑体" w:cs="黑体"/>
          <w:sz w:val="32"/>
          <w:szCs w:val="32"/>
        </w:rPr>
        <w:t>第三十三条</w:t>
      </w:r>
      <w:r>
        <w:rPr>
          <w:rFonts w:hint="eastAsia" w:ascii="Times New Roman" w:hAnsi="Times New Roman" w:cs="仿宋_GB2312"/>
          <w:sz w:val="32"/>
          <w:szCs w:val="32"/>
        </w:rPr>
        <w:t>　从事母婴保健技术服务的人员出具虚假医学证明文件的，依法给予处分；有下列情形之一的，由原发证机关吊销《母婴保健技术考核合格证书》或者《医师执业证书》；构成犯罪的，依法追究刑事责任：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（一）因延误诊治，造成严重后果的；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（二）给当事人身心健康造成严重后果的；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（三）造成其他严重后果的。</w:t>
      </w:r>
    </w:p>
    <w:p>
      <w:pPr>
        <w:ind w:firstLine="632" w:firstLineChars="200"/>
        <w:rPr>
          <w:rFonts w:ascii="Times New Roman" w:hAnsi="Times New Roman" w:cs="仿宋_GB2312"/>
          <w:sz w:val="32"/>
          <w:szCs w:val="32"/>
        </w:rPr>
      </w:pPr>
      <w:bookmarkStart w:id="43" w:name="第三十四条"/>
      <w:bookmarkEnd w:id="43"/>
      <w:r>
        <w:rPr>
          <w:rFonts w:hint="eastAsia" w:ascii="Times New Roman" w:hAnsi="Times New Roman" w:eastAsia="黑体" w:cs="黑体"/>
          <w:sz w:val="32"/>
          <w:szCs w:val="32"/>
        </w:rPr>
        <w:t>第三十四条</w:t>
      </w:r>
      <w:r>
        <w:rPr>
          <w:rFonts w:hint="eastAsia" w:ascii="Times New Roman" w:hAnsi="Times New Roman" w:cs="仿宋_GB2312"/>
          <w:sz w:val="32"/>
          <w:szCs w:val="32"/>
        </w:rPr>
        <w:t>　违反本办法规定进行胎儿性别鉴定的，由县级人民政府卫生健康行政部门责令停止违法行为，给予警告；对医疗保健机构直接负责的主管人员和直接责任人员，依法给予处分；有违法所得的，没收违法所得；违法所得一万元以上的，处违法所得二倍以上四倍以下的罚款；没有违法所得或者违法所得不足一万元的，处一万元以上二万元以下的罚款。违法进行胎儿性别鉴定两次以上或者以营利为目的进行胎儿性别鉴定的，由原发证机关吊销执业证书；构成犯罪的，依法追究刑事责任。</w:t>
      </w:r>
    </w:p>
    <w:p>
      <w:pPr>
        <w:ind w:firstLine="632" w:firstLineChars="200"/>
        <w:rPr>
          <w:rFonts w:ascii="Times New Roman" w:hAnsi="Times New Roman" w:cs="仿宋_GB2312"/>
          <w:sz w:val="32"/>
          <w:szCs w:val="32"/>
        </w:rPr>
      </w:pPr>
      <w:bookmarkStart w:id="44" w:name="第三十五条"/>
      <w:bookmarkEnd w:id="44"/>
      <w:r>
        <w:rPr>
          <w:rFonts w:hint="eastAsia" w:ascii="Times New Roman" w:hAnsi="Times New Roman" w:eastAsia="黑体" w:cs="黑体"/>
          <w:sz w:val="32"/>
          <w:szCs w:val="32"/>
        </w:rPr>
        <w:t>第三十五条</w:t>
      </w:r>
      <w:r>
        <w:rPr>
          <w:rFonts w:hint="eastAsia" w:ascii="Times New Roman" w:hAnsi="Times New Roman" w:cs="仿宋_GB2312"/>
          <w:sz w:val="32"/>
          <w:szCs w:val="32"/>
        </w:rPr>
        <w:t>　卫生健康行政部门的工作人员在母婴保健工作中，玩忽职守、滥用职权、徇私舞弊的，依法给予处分；构成犯罪的，依法追究刑事责任。</w:t>
      </w:r>
    </w:p>
    <w:p>
      <w:pPr>
        <w:ind w:firstLine="632" w:firstLineChars="200"/>
        <w:rPr>
          <w:rFonts w:ascii="Times New Roman" w:hAnsi="Times New Roman" w:cs="仿宋_GB2312"/>
          <w:sz w:val="32"/>
          <w:szCs w:val="32"/>
        </w:rPr>
      </w:pPr>
      <w:bookmarkStart w:id="45" w:name="第三十六条"/>
      <w:bookmarkEnd w:id="45"/>
      <w:r>
        <w:rPr>
          <w:rFonts w:hint="eastAsia" w:ascii="Times New Roman" w:hAnsi="Times New Roman" w:eastAsia="黑体" w:cs="黑体"/>
          <w:sz w:val="32"/>
          <w:szCs w:val="32"/>
        </w:rPr>
        <w:t>第三十六条</w:t>
      </w:r>
      <w:r>
        <w:rPr>
          <w:rFonts w:hint="eastAsia" w:ascii="Times New Roman" w:hAnsi="Times New Roman" w:cs="仿宋_GB2312"/>
          <w:sz w:val="32"/>
          <w:szCs w:val="32"/>
        </w:rPr>
        <w:t>　用人单位损害女职工在孕期、产期、哺乳期的合法权益的，由有关部门依照有关法律、法规处理。</w:t>
      </w:r>
    </w:p>
    <w:p>
      <w:pPr>
        <w:rPr>
          <w:rFonts w:ascii="Times New Roman" w:hAnsi="Times New Roman" w:eastAsia="宋体" w:cs="宋体"/>
          <w:szCs w:val="32"/>
        </w:rPr>
      </w:pPr>
    </w:p>
    <w:p>
      <w:pPr>
        <w:jc w:val="center"/>
        <w:rPr>
          <w:rFonts w:ascii="Times New Roman" w:hAnsi="Times New Roman" w:eastAsia="黑体" w:cs="黑体"/>
          <w:szCs w:val="32"/>
        </w:rPr>
      </w:pPr>
      <w:bookmarkStart w:id="46" w:name="第八章 附则"/>
      <w:bookmarkEnd w:id="46"/>
      <w:r>
        <w:rPr>
          <w:rFonts w:hint="eastAsia" w:ascii="Times New Roman" w:hAnsi="Times New Roman" w:eastAsia="黑体" w:cs="黑体"/>
          <w:szCs w:val="32"/>
        </w:rPr>
        <w:t>第八章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7" w:name="第三十七条"/>
      <w:bookmarkEnd w:id="47"/>
      <w:r>
        <w:rPr>
          <w:rFonts w:hint="eastAsia" w:ascii="Times New Roman" w:hAnsi="Times New Roman" w:eastAsia="黑体" w:cs="黑体"/>
          <w:sz w:val="32"/>
          <w:szCs w:val="32"/>
        </w:rPr>
        <w:t>第三十七条</w:t>
      </w:r>
      <w:r>
        <w:rPr>
          <w:rFonts w:hint="eastAsia" w:ascii="Times New Roman" w:hAnsi="Times New Roman" w:cs="仿宋_GB2312"/>
          <w:sz w:val="32"/>
          <w:szCs w:val="32"/>
        </w:rPr>
        <w:t>　本办法第十六条、第二十条、第二十二条、第二十五条规定的收费标准和减免办法由省人民政府制定。</w:t>
      </w:r>
    </w:p>
    <w:p>
      <w:pPr>
        <w:ind w:firstLine="632" w:firstLineChars="200"/>
        <w:rPr>
          <w:rFonts w:ascii="Times New Roman" w:hAnsi="Times New Roman" w:cs="仿宋_GB2312"/>
          <w:sz w:val="32"/>
          <w:szCs w:val="32"/>
        </w:rPr>
      </w:pPr>
      <w:bookmarkStart w:id="48" w:name="第三十八条"/>
      <w:bookmarkEnd w:id="48"/>
      <w:r>
        <w:rPr>
          <w:rFonts w:hint="eastAsia" w:ascii="Times New Roman" w:hAnsi="Times New Roman" w:eastAsia="黑体" w:cs="黑体"/>
          <w:sz w:val="32"/>
          <w:szCs w:val="32"/>
        </w:rPr>
        <w:t>第三十八条</w:t>
      </w:r>
      <w:r>
        <w:rPr>
          <w:rFonts w:hint="eastAsia" w:ascii="Times New Roman" w:hAnsi="Times New Roman" w:cs="仿宋_GB2312"/>
          <w:sz w:val="32"/>
          <w:szCs w:val="32"/>
        </w:rPr>
        <w:t>　本办法自2003年2月1日起施行。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A1FB9"/>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3</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2025-03-04T08:21:29Z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