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19" w:name="_GoBack"/>
      <w:bookmarkEnd w:id="19"/>
    </w:p>
    <w:p w14:paraId="0AE7BF2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国务院关于涉外知识产权纠纷处理的规定"/>
      <w:bookmarkEnd w:id="0"/>
      <w:r>
        <w:rPr>
          <w:rFonts w:hint="eastAsia" w:ascii="方正小标宋简体" w:hAnsi="方正小标宋简体" w:eastAsia="方正小标宋简体" w:cs="方正小标宋简体"/>
          <w:color w:val="333333"/>
          <w:sz w:val="44"/>
          <w:szCs w:val="44"/>
          <w:shd w:val="clear" w:color="auto" w:fill="FFFFFF"/>
        </w:rPr>
        <w:t>国务院关于涉外知识产权纠纷处理的规定</w:t>
      </w:r>
    </w:p>
    <w:p w14:paraId="54F696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为了加强知识产权保护，促进公民、组织依法处理涉外知识产权纠纷，维护公民、组织的合法权益，推进高水平对外开放，推动经济高质量发展，制定本规定。</w:t>
      </w:r>
    </w:p>
    <w:p w14:paraId="3CF6237E">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国务院负责商标、专利、著作权等知识产权管理工作的部门（以下称知识产权管理部门）以及商务主管部门，加强对公民、组织处理涉外知识产权纠纷的指导和服务，国务院其他有关部门按照职责分工做好相关工作。</w:t>
      </w:r>
    </w:p>
    <w:p w14:paraId="2E3B8F99">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国务院有关部门加强工作协调和信息沟通，共同做好涉外知识产权纠纷处理相关工作。</w:t>
      </w:r>
    </w:p>
    <w:p w14:paraId="59D6A084">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县级以上地方人民政府及其有关部门结合本地区实际情况，做好涉外知识产权纠纷处理相关工作。</w:t>
      </w:r>
    </w:p>
    <w:p w14:paraId="43FF8008">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国务院知识产权管理部门以及商务、司法行政等有关部门按照职责分工及时收集和发布国外知识产权法律制度信息，完善知识产权信息公共服务体系，为公众提供国外知识产权信息查询服务。</w:t>
      </w:r>
    </w:p>
    <w:p w14:paraId="3651AC23">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国务院知识产权管理部门、商务主管部门按照职责分工对国外知识产权法律制度变化等重点信息加强跟踪了解，开展典型案例分析研究，及时发布风险提示，为公众提供涉外知识产权预警。</w:t>
      </w:r>
    </w:p>
    <w:p w14:paraId="39654AD5">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国务院知识产权管理部门、商务主管部门按照职责分工健全涉外知识产权纠纷处理指导工作机构和工作规程，为公民、组织处理涉外知识产权纠纷提供应对指导和维权援助。</w:t>
      </w:r>
    </w:p>
    <w:p w14:paraId="5075DA9C">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支持商事调解组织、仲裁机构参与涉外知识产权纠纷解决，为公民、组织提供高效便捷的涉外知识产权纠纷解决途径，鼓励、引导公民、组织通过和解、调解、仲裁等方式快速解决涉外知识产权纠纷。</w:t>
      </w:r>
    </w:p>
    <w:p w14:paraId="4B46D177">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国务院司法行政部门加强对涉外知识产权纠纷调解、仲裁工作的指导。</w:t>
      </w:r>
    </w:p>
    <w:p w14:paraId="392D60E7">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鼓励律师事务所、知识产权服务机构等提高涉外知识产权服务能力，通过设立分支机构、联合经营等方式在国外设立执业机构，为公民、组织提供优质高效的涉外知识产权相关服务。</w:t>
      </w:r>
    </w:p>
    <w:p w14:paraId="2570AA2B">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国务院司法行政部门、知识产权管理部门会同有关部门采取措施，为律师事务所、知识产权服务机构等加强涉外知识产权相关服务创造条件。</w:t>
      </w:r>
    </w:p>
    <w:p w14:paraId="77710AA3">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支持企业设立涉外知识产权保护维权互助基金，鼓励保险机构按照市场化原则开展涉外知识产权相关保险业务，降低企业维权成本。</w:t>
      </w:r>
    </w:p>
    <w:p w14:paraId="025D5990">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鼓励商会、行业协会、跨境电商平台等组织搭建涉外知识产权维权援助平台，开通服务热线，提供咨询、培训等公益服务。</w:t>
      </w:r>
    </w:p>
    <w:p w14:paraId="54FA21E6">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企业应当增强法治意识，建立健全内部规章制度，加强知识产权人才储备，强化知识产权保护和运用；进入国外市场，应当主动了解所在国家或者地区的法律制度、知识产权保护状况，依法开展生产经营活动，积极维护自身合法权益。</w:t>
      </w:r>
    </w:p>
    <w:p w14:paraId="5E49B297">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知识产权管理部门、商务主管部门会同有关部门聚焦企业涉外生产经营活动中知识产权保护需求，围绕涉外知识产权纠纷重点领域和关键环节，面向企业开展宣传、培训，结合典型案例介绍依法处理涉外知识产权纠纷的经验和做法，提升企业涉外知识产权保护意识和纠纷处理能力。</w:t>
      </w:r>
    </w:p>
    <w:p w14:paraId="601B292F">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国务院司法行政部门按照“谁执法谁普法”普法责任制的要求，加强知识产权相关法治宣传教育，全面提升公民、组织知识产权保护意识和依法维权能力。</w:t>
      </w:r>
    </w:p>
    <w:p w14:paraId="4902D92D">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在我国境内送达文书、调查取证应当依照我国缔结或者参加的国际条约以及《中华人民共和国民事诉讼法》、《中华人民共和国国际刑事司法协助法》等法律规定办理。任何组织和个人均不得违反我国法律规定，在我国境内送达文书、调查取证。</w:t>
      </w:r>
    </w:p>
    <w:p w14:paraId="6F25FFBB">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我国境内的组织、个人参与境外知识产权相关诉讼或者受到境外司法或执法机构相关调查，需要向境外提供证据或者相关材料的，应当遵守保守国家秘密、数据安全、个人信息保护、技术出口管理、司法协助等法律、行政法规规定。依法须经主管机关准许的，应当履行相关法律程序。</w:t>
      </w:r>
    </w:p>
    <w:p w14:paraId="5C347D91">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国务院商务主管部门可以依照《中华人民共和国对外贸易法》对下列事项进行调查并采取必要的措施：</w:t>
      </w:r>
    </w:p>
    <w:p w14:paraId="5090746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（一）进口货物侵犯知识产权，并危害对外贸易秩序的；</w:t>
      </w:r>
    </w:p>
    <w:p w14:paraId="118B097D">
      <w:pPr>
        <w:ind w:firstLine="632" w:firstLineChars="200"/>
        <w:rPr>
          <w:rFonts w:ascii="Times New Roman" w:hAnsi="Times New Roman" w:cs="仿宋_GB2312"/>
          <w:sz w:val="32"/>
          <w:szCs w:val="32"/>
        </w:rPr>
      </w:pPr>
      <w:r>
        <w:rPr>
          <w:rFonts w:hint="eastAsia" w:ascii="Times New Roman" w:hAnsi="Times New Roman" w:cs="仿宋_GB2312"/>
          <w:sz w:val="32"/>
          <w:szCs w:val="32"/>
        </w:rPr>
        <w:t>（二）知识产权权利人有阻止被许可人对许可合同中的知识产权的有效性提出质疑、进行强制性一揽子许可、在许可合同中规定排他性返授条件等行为之一，并危害对外贸易公平竞争秩序的；</w:t>
      </w:r>
    </w:p>
    <w:p w14:paraId="048552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（三）其他国家或者地区在知识产权保护方面未给予我国公民、组织国民待遇，或者不能对来源于我国的货物、技术或者服务提供充分有效的知识产权保护的。</w:t>
      </w:r>
    </w:p>
    <w:p w14:paraId="486E5BAA">
      <w:pPr>
        <w:ind w:firstLine="632" w:firstLineChars="200"/>
        <w:rPr>
          <w:rFonts w:ascii="Times New Roman" w:hAnsi="Times New Roman" w:cs="仿宋_GB2312"/>
          <w:sz w:val="32"/>
          <w:szCs w:val="32"/>
        </w:rPr>
      </w:pPr>
      <w:bookmarkStart w:id="15" w:name="第十五条"/>
      <w:bookmarkEnd w:id="15"/>
      <w:r>
        <w:rPr>
          <w:rFonts w:hint="eastAsia" w:ascii="Times New Roman" w:hAnsi="Times New Roman" w:eastAsia="黑体" w:cs="黑体"/>
          <w:sz w:val="32"/>
          <w:szCs w:val="32"/>
        </w:rPr>
        <w:t>第十五条</w:t>
      </w:r>
      <w:r>
        <w:rPr>
          <w:rFonts w:hint="eastAsia" w:ascii="Times New Roman" w:hAnsi="Times New Roman" w:cs="仿宋_GB2312"/>
          <w:sz w:val="32"/>
          <w:szCs w:val="32"/>
        </w:rPr>
        <w:t>　外国国家违反国际法和国际关系基本准则，以知识产权纠纷为借口对我国进行遏制、打压，对我国公民、组织采取歧视性限制措施，干涉我国内政的，国务院有关部门可以依照《中华人民共和国对外关系法》、《中华人民共和国反外国制裁法》等法律将直接或者间接参与制定、决定、实施歧视性限制措施的组织、个人列入反制清单，采取相应反制和限制措施。</w:t>
      </w:r>
    </w:p>
    <w:p w14:paraId="37F11D5D">
      <w:pPr>
        <w:ind w:firstLine="632" w:firstLineChars="200"/>
        <w:rPr>
          <w:rFonts w:ascii="Times New Roman" w:hAnsi="Times New Roman" w:cs="仿宋_GB2312"/>
          <w:sz w:val="32"/>
          <w:szCs w:val="32"/>
        </w:rPr>
      </w:pPr>
      <w:bookmarkStart w:id="16" w:name="第十六条"/>
      <w:bookmarkEnd w:id="16"/>
      <w:r>
        <w:rPr>
          <w:rFonts w:hint="eastAsia" w:ascii="Times New Roman" w:hAnsi="Times New Roman" w:eastAsia="黑体" w:cs="黑体"/>
          <w:sz w:val="32"/>
          <w:szCs w:val="32"/>
        </w:rPr>
        <w:t>第十六条</w:t>
      </w:r>
      <w:r>
        <w:rPr>
          <w:rFonts w:hint="eastAsia" w:ascii="Times New Roman" w:hAnsi="Times New Roman" w:cs="仿宋_GB2312"/>
          <w:sz w:val="32"/>
          <w:szCs w:val="32"/>
        </w:rPr>
        <w:t>　任何组织和个人均不得执行或者协助执行外国国家以知识产权纠纷为借口对我国公民、组织采取的歧视性限制措施。</w:t>
      </w:r>
    </w:p>
    <w:p w14:paraId="5361779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任何组织和个人违反前款规定，侵害我国公民、组织合法权益的，我国公民、组织可以依法向人民法院提起诉讼，要求其停止侵害、赔偿损失。</w:t>
      </w:r>
    </w:p>
    <w:p w14:paraId="5F080711">
      <w:pPr>
        <w:ind w:firstLine="632" w:firstLineChars="200"/>
        <w:rPr>
          <w:rFonts w:ascii="Times New Roman" w:hAnsi="Times New Roman" w:cs="仿宋_GB2312"/>
          <w:sz w:val="32"/>
          <w:szCs w:val="32"/>
        </w:rPr>
      </w:pPr>
      <w:bookmarkStart w:id="17" w:name="第十七条"/>
      <w:bookmarkEnd w:id="17"/>
      <w:r>
        <w:rPr>
          <w:rFonts w:hint="eastAsia" w:ascii="Times New Roman" w:hAnsi="Times New Roman" w:eastAsia="黑体" w:cs="黑体"/>
          <w:sz w:val="32"/>
          <w:szCs w:val="32"/>
        </w:rPr>
        <w:t>第十七条</w:t>
      </w:r>
      <w:r>
        <w:rPr>
          <w:rFonts w:hint="eastAsia" w:ascii="Times New Roman" w:hAnsi="Times New Roman" w:cs="仿宋_GB2312"/>
          <w:sz w:val="32"/>
          <w:szCs w:val="32"/>
        </w:rPr>
        <w:t>　国务院有关部门加强协调配合，对利用知识产权纠纷危害我国主权、安全、发展利益的，依照《中华人民共和国国家安全法》、《中华人民共和国对外关系法》、《中华人民共和国反外国制裁法》等法律采取相应措施；对滥用知识产权排除、限制竞争或者实施不正当竞争等行为的，依照《中华人民共和国反垄断法》、《中华人民共和国反不正当竞争法》等法律予以处理。</w:t>
      </w:r>
    </w:p>
    <w:p w14:paraId="77B3529C">
      <w:pPr>
        <w:ind w:firstLine="632" w:firstLineChars="200"/>
        <w:rPr>
          <w:rFonts w:ascii="Times New Roman" w:hAnsi="Times New Roman" w:cs="仿宋_GB2312"/>
          <w:sz w:val="32"/>
          <w:szCs w:val="32"/>
        </w:rPr>
      </w:pPr>
      <w:bookmarkStart w:id="18" w:name="第十八条"/>
      <w:bookmarkEnd w:id="18"/>
      <w:r>
        <w:rPr>
          <w:rFonts w:hint="eastAsia" w:ascii="Times New Roman" w:hAnsi="Times New Roman" w:eastAsia="黑体" w:cs="黑体"/>
          <w:sz w:val="32"/>
          <w:szCs w:val="32"/>
        </w:rPr>
        <w:t>第十八条</w:t>
      </w:r>
      <w:r>
        <w:rPr>
          <w:rFonts w:hint="eastAsia" w:ascii="Times New Roman" w:hAnsi="Times New Roman" w:cs="仿宋_GB2312"/>
          <w:sz w:val="32"/>
          <w:szCs w:val="32"/>
        </w:rPr>
        <w:t>　本规定自2025年5月1日起施行。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1F7079"/>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2148</Words>
  <Characters>2151</Characters>
  <Lines>87</Lines>
  <Paragraphs>24</Paragraphs>
  <TotalTime>3</TotalTime>
  <ScaleCrop>false</ScaleCrop>
  <LinksUpToDate>false</LinksUpToDate>
  <CharactersWithSpaces>2169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2025-04-07T03:03:49Z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7958F25F31B84614BD800C1B5935FEE5_13</vt:lpwstr>
  </property>
  <property fmtid="{D5CDD505-2E9C-101B-9397-08002B2CF9AE}" pid="3" name="KSOProductBuildVer">
    <vt:lpwstr>2052-12.1.0.20305</vt:lpwstr>
  </property>
</Properties>
</file>