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浙江省实施《中华人民共和国慈善法》办法"/>
      <w:bookmarkEnd w:id="0"/>
      <w:r>
        <w:rPr>
          <w:rFonts w:ascii="方正小标宋简体" w:eastAsia="方正小标宋简体" w:hAnsi="方正小标宋简体" w:cs="方正小标宋简体" w:hint="eastAsia"/>
          <w:color w:val="333333"/>
          <w:sz w:val="44"/>
          <w:szCs w:val="44"/>
          <w:shd w:val="clear" w:color="auto" w:fill="FFFFFF"/>
        </w:rPr>
        <w:t>浙江省实施《中华人民共和国慈善法》办法</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（2018年11月30日浙江省第十三届人民代表大会常务委员会第七次会议通过　根据2025年3月28日浙江省第十四届人民代表大会常务委员会第十六次会议《关于修改〈浙江省实施《中华人民共和国慈善法》办法〉等六件地方性法规、决定的决定》修正）</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2" w:name="第一条"/>
      <w:bookmarkEnd w:id="2"/>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根据《中华人民共和国慈善法》（以下简称慈善法）和有关法律、行政法规，结合本省实际，制定本办法。</w:t>
      </w:r>
    </w:p>
    <w:p>
      <w:pPr>
        <w:ind w:firstLine="640" w:firstLineChars="200"/>
        <w:rPr>
          <w:rFonts w:ascii="Times New Roman" w:hAnsi="Times New Roman" w:cs="仿宋_GB2312"/>
          <w:sz w:val="32"/>
          <w:szCs w:val="32"/>
        </w:rPr>
      </w:pPr>
      <w:bookmarkStart w:id="3" w:name="第二条"/>
      <w:bookmarkEnd w:id="3"/>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在本省行政区域内从事慈善法第三条规定的慈善活动以及与慈善有关的活动，适用本办法。</w:t>
      </w:r>
    </w:p>
    <w:p>
      <w:pPr>
        <w:ind w:firstLine="640" w:firstLineChars="200"/>
        <w:rPr>
          <w:rFonts w:ascii="Times New Roman" w:hAnsi="Times New Roman" w:cs="仿宋_GB2312"/>
          <w:sz w:val="32"/>
          <w:szCs w:val="32"/>
        </w:rPr>
      </w:pPr>
      <w:bookmarkStart w:id="4" w:name="第三条"/>
      <w:bookmarkEnd w:id="4"/>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当将慈善事业纳入国民经济和社会发展规划，安排必要的资金用于支持慈善事业发展，建立健全工作协调机制，统筹、协调、督促和指导有关部门在各自职责范围内做好慈善事业的扶持发展和规范管理工作。</w:t>
      </w:r>
    </w:p>
    <w:p>
      <w:pPr>
        <w:ind w:firstLine="640" w:firstLineChars="200"/>
        <w:rPr>
          <w:rFonts w:ascii="Times New Roman" w:hAnsi="Times New Roman" w:cs="仿宋_GB2312"/>
          <w:sz w:val="32"/>
          <w:szCs w:val="32"/>
        </w:rPr>
      </w:pPr>
      <w:bookmarkStart w:id="5" w:name="第四条"/>
      <w:bookmarkEnd w:id="5"/>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县级以上人民政府民政部门主管本行政区域内的慈善工作；其他有关部门在各自职责范围内做好相关工作；慈善组织有业务主管单位的，业务主管单位应当对其进行指导、监督。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乡（镇）人民政府、街道办事处应当协助民政部门以及其他有关部门做好慈善相关工作。村（居）民委员会应当支持和协助开展慈善活动。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工会、共产主义青年团、妇女联合会、残疾人联合会、红十字会等团体，应当结合各自工作对象的特点做好相关慈善工作。</w:t>
      </w:r>
    </w:p>
    <w:p>
      <w:pPr>
        <w:ind w:firstLine="640" w:firstLineChars="200"/>
        <w:rPr>
          <w:rFonts w:ascii="Times New Roman" w:hAnsi="Times New Roman" w:cs="仿宋_GB2312"/>
          <w:sz w:val="32"/>
          <w:szCs w:val="32"/>
        </w:rPr>
      </w:pPr>
      <w:bookmarkStart w:id="6" w:name="第五条"/>
      <w:bookmarkEnd w:id="6"/>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县级以上精神文明建设指导机构应当将慈善文化建设纳入社会主义精神文明建设规划，将慈善事业发展情况列入文明城市、文明村镇、文明单位等群众性精神文明创建活动考核内容，营造有利于慈善事业发展的社会环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县级以上人民政府民政部门应当会同有关部门制定慈善文化公益宣传工作计划，组织、指导和协调有关部门及单位开展慈善文化公益宣传活动，加强慈善法律、法规、规章宣传，增强公民慈善意识。</w:t>
      </w:r>
    </w:p>
    <w:p>
      <w:pPr>
        <w:ind w:firstLine="640" w:firstLineChars="200"/>
        <w:rPr>
          <w:rFonts w:ascii="Times New Roman" w:hAnsi="Times New Roman" w:cs="仿宋_GB2312"/>
          <w:sz w:val="32"/>
          <w:szCs w:val="32"/>
        </w:rPr>
      </w:pPr>
      <w:bookmarkStart w:id="7" w:name="第六条"/>
      <w:bookmarkEnd w:id="7"/>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鼓励和支持慈善组织根据需要成立区域性的慈善（联合）总会以及相同慈善活动领域的联合型、行业性组织。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慈善（联合）总会等慈善行业组织应当建立健全行业规范，加强行业自律，推动行业交流，反映行业诉求，维护行业权益，提高慈善行业公信力，促进慈善事业发展。</w:t>
      </w:r>
    </w:p>
    <w:p>
      <w:pPr>
        <w:ind w:firstLine="640" w:firstLineChars="200"/>
        <w:rPr>
          <w:rFonts w:ascii="Times New Roman" w:hAnsi="Times New Roman" w:cs="仿宋_GB2312"/>
          <w:sz w:val="32"/>
          <w:szCs w:val="32"/>
        </w:rPr>
      </w:pPr>
      <w:bookmarkStart w:id="8" w:name="第七条"/>
      <w:bookmarkEnd w:id="8"/>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设立慈善组织，应当符合慈善法第九条规定的条件，并向县级以上人民政府民政部门申请登记。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鼓励和支持已经设立并符合慈善法第九条规定条件的基金会、社会团体、社会服务机构等非营利性组织，向办理其登记的民政部门申请认定为慈善组织。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县级以上人民政府民政部门在办理慈善组织登记和认定时，不得在慈善法等法律、行政法规的规定之外增设条件。</w:t>
      </w:r>
    </w:p>
    <w:p>
      <w:pPr>
        <w:ind w:firstLine="640" w:firstLineChars="200"/>
        <w:rPr>
          <w:rFonts w:ascii="Times New Roman" w:hAnsi="Times New Roman" w:cs="仿宋_GB2312"/>
          <w:sz w:val="32"/>
          <w:szCs w:val="32"/>
        </w:rPr>
      </w:pPr>
      <w:bookmarkStart w:id="9" w:name="第八条"/>
      <w:bookmarkEnd w:id="9"/>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县级以上人民政府民政部门在办理基金会、社会团体、社会服务机构等非营利性组织设立登记时，对符合慈善组织条件的，可以经由其提出申请，同步将该非营利性组织登记为慈善组织。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慈善组织自完成设立登记或者认定时起，同步取得出具公益性捐赠税前扣除票据资格，可以凭标注慈善组织属性的登记证书向财政部门申领公益事业捐赠票据。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省人民政府民政部门应当会同财政、税务部门，根据慈善组织注册登记和开展慈善活动、信用记录、日常监督检查结果等情况，及时更新具有出具公益性捐赠税前扣除票据资格的慈善组织名单，并向社会公告。</w:t>
      </w:r>
    </w:p>
    <w:p>
      <w:pPr>
        <w:ind w:firstLine="640" w:firstLineChars="200"/>
        <w:rPr>
          <w:rFonts w:ascii="Times New Roman" w:hAnsi="Times New Roman" w:cs="仿宋_GB2312"/>
          <w:sz w:val="32"/>
          <w:szCs w:val="32"/>
        </w:rPr>
      </w:pPr>
      <w:bookmarkStart w:id="10" w:name="第九条"/>
      <w:bookmarkEnd w:id="10"/>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慈善组织应当根据法律、法规、规章和章程的规定设立决策、执行、监督机构，明确职责权限，保证慈善活动规范有序开展。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对重大投资方案制定和变更、捐赠财产用途变更等事项，慈善组织应当按照慈善法和有关法律、法规、规章和章程的规定，遵守重大事项决策程序。</w:t>
      </w:r>
    </w:p>
    <w:p>
      <w:pPr>
        <w:ind w:firstLine="640" w:firstLineChars="200"/>
        <w:rPr>
          <w:rFonts w:ascii="Times New Roman" w:hAnsi="Times New Roman" w:cs="仿宋_GB2312"/>
          <w:sz w:val="32"/>
          <w:szCs w:val="32"/>
        </w:rPr>
      </w:pPr>
      <w:bookmarkStart w:id="11" w:name="第十条"/>
      <w:bookmarkEnd w:id="11"/>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慈善组织应当建立健全财务管理制度、会计核算和监督制度，按照规定开立银行结算账户，实行专户管理，保证会计信息真实有效。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慈善组织应当建立健全档案管理制度，根据国家有关规定做好会计档案、慈善活动信息档案等资料的收集、整理、保管和应用工作。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慈善组织应当规范募得款物的管理和使用。募得款物应当按照公开、公平、公正和必要的原则用于采购物资、服务或者开展慈善活动。采购物资、服务的价格不得高于市场价格。</w:t>
      </w:r>
    </w:p>
    <w:p>
      <w:pPr>
        <w:ind w:firstLine="640" w:firstLineChars="200"/>
        <w:rPr>
          <w:rFonts w:ascii="Times New Roman" w:hAnsi="Times New Roman" w:cs="仿宋_GB2312"/>
          <w:sz w:val="32"/>
          <w:szCs w:val="32"/>
        </w:rPr>
      </w:pPr>
      <w:bookmarkStart w:id="12" w:name="第十一条"/>
      <w:bookmarkEnd w:id="12"/>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慈善组织应当依法履行信息公开义务，对公开的信息的真实性负责，不得以新闻发布、广告推广等形式代替应当履行的信息公开义务。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慈善组织应当在国家统一的慈善信息平台，向社会公开下列信息：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（一）慈善组织的基本信息；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（二）年度工作报告和财务会计报告；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（三）公开募捐情况；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（四）慈善项目有关情况；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（五）慈善信托有关情况；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（六）重大资产变动及投资、重大交换交易及资金往来、关联交易行为等情况；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（七）法律、法规、规章要求公开的其他信息。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慈善组织信息公开的时限，按照法律、法规、规章的有关规定执行。</w:t>
      </w:r>
    </w:p>
    <w:p>
      <w:pPr>
        <w:ind w:firstLine="640" w:firstLineChars="200"/>
        <w:rPr>
          <w:rFonts w:ascii="Times New Roman" w:hAnsi="Times New Roman" w:cs="仿宋_GB2312"/>
          <w:sz w:val="32"/>
          <w:szCs w:val="32"/>
        </w:rPr>
      </w:pPr>
      <w:bookmarkStart w:id="13" w:name="第十二条"/>
      <w:bookmarkEnd w:id="13"/>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慈善募捐包括公开募捐和定向募捐。</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慈善组织开展公开募捐，应当按照慈善法和国家有关规定取得公开募捐资格。</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慈善组织自登记之日起可以开展定向募捐。</w:t>
      </w:r>
    </w:p>
    <w:p>
      <w:pPr>
        <w:ind w:firstLine="640" w:firstLineChars="200"/>
        <w:rPr>
          <w:rFonts w:ascii="Times New Roman" w:hAnsi="Times New Roman" w:cs="仿宋_GB2312"/>
          <w:sz w:val="32"/>
          <w:szCs w:val="32"/>
        </w:rPr>
      </w:pPr>
      <w:bookmarkStart w:id="14" w:name="第十三条"/>
      <w:bookmarkEnd w:id="14"/>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慈善组织开展公开募捐，应当按照慈善法和国家有关规定制定募捐方案，并按照规定通过国家统一的慈善信息平台报送办理其登记的民政部门备案。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采取慈善法第二十三条第一款第一项、第二项规定的方式开展公开募捐，确有必要在办理其登记的民政部门管辖区域外进行的，还应当在开展募捐活动七日前，报其开展募捐活动所在地的县（市、区）人民政府民政部门备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慈善组织为应对重大自然灾害、事故灾难和公共卫生事件等突发事件，无法在开展公开募捐前报备募捐方案的，应当在募捐活动开始后十日内补办备案手续。</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慈善组织通过举办面向社会公众的义演、义赛、义卖、义展、义拍、慈善晚会等方式开展公开募捐，属于大型群众性活动的，还应当按照有关法律、法规的规定办理审批手续。</w:t>
      </w:r>
    </w:p>
    <w:p>
      <w:pPr>
        <w:ind w:firstLine="640" w:firstLineChars="200"/>
        <w:rPr>
          <w:rFonts w:ascii="Times New Roman" w:hAnsi="Times New Roman" w:cs="仿宋_GB2312"/>
          <w:sz w:val="32"/>
          <w:szCs w:val="32"/>
        </w:rPr>
      </w:pPr>
      <w:bookmarkStart w:id="15" w:name="第十四条"/>
      <w:bookmarkEnd w:id="15"/>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慈善组织通过互联网开展公开募捐的，应当在国务院民政部门指定的互联网公开募捐服务平台发布公开募捐信息，并可以同时在以本慈善组织名义开通的网站、微博、微信、移动客户端等网络平台发布公开募捐信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鼓励慈善组织运用大数据、云计算等技术，创新公开募捐活动的形式；鼓励社会公众以电子支付或者其他合法的虚拟形式开展捐赠。</w:t>
      </w:r>
    </w:p>
    <w:p>
      <w:pPr>
        <w:ind w:firstLine="640" w:firstLineChars="200"/>
        <w:rPr>
          <w:rFonts w:ascii="Times New Roman" w:hAnsi="Times New Roman" w:cs="仿宋_GB2312"/>
          <w:sz w:val="32"/>
          <w:szCs w:val="32"/>
        </w:rPr>
      </w:pPr>
      <w:bookmarkStart w:id="16" w:name="第十五条"/>
      <w:bookmarkEnd w:id="16"/>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国务院民政部门指定的互联网公开募捐服务平台在提供公开募捐服务时，应当查验慈善组织的登记证书、公开募捐资格证书，在显著位置公布慈善组织名称、公开募捐资格证书、募捐方案、联系方式、募捐信息查询方法等，并按照国家有关规定记录和保存慈善组织在其平台上发布的有关信息，履行相应信息公开义务。</w:t>
      </w:r>
    </w:p>
    <w:p>
      <w:pPr>
        <w:ind w:firstLine="640" w:firstLineChars="200"/>
        <w:rPr>
          <w:rFonts w:ascii="Times New Roman" w:hAnsi="Times New Roman" w:cs="仿宋_GB2312"/>
          <w:sz w:val="32"/>
          <w:szCs w:val="32"/>
        </w:rPr>
      </w:pPr>
      <w:bookmarkStart w:id="17" w:name="第十六条"/>
      <w:bookmarkEnd w:id="17"/>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不具有公开募捐资格的组织或者个人基于慈善目的，可以与具有公开募捐资格的慈善组织合作，由慈善组织开展公开募捐活动。具有公开募捐资格的慈善组织对有关组织或者个人依法提出并符合本组织章程规定的宗旨和活动范围的合作请求，应当予以支持或者提供其他帮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合作开展公开募捐的，合作双方应当依法签订书面协议，明确双方的权利和义务。募捐活动的全部收支纳入具有公开募捐资格的慈善组织账户，统一财务核算和管理，专款专用。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县级以上人民政府民政部门应当加强对合作开展公开募捐活动的行政指导。</w:t>
      </w:r>
    </w:p>
    <w:p>
      <w:pPr>
        <w:ind w:firstLine="640" w:firstLineChars="200"/>
        <w:rPr>
          <w:rFonts w:ascii="Times New Roman" w:hAnsi="Times New Roman" w:cs="仿宋_GB2312"/>
          <w:sz w:val="32"/>
          <w:szCs w:val="32"/>
        </w:rPr>
      </w:pPr>
      <w:bookmarkStart w:id="18" w:name="第十七条"/>
      <w:bookmarkEnd w:id="18"/>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慈善组织接受捐赠，应当在实际接收捐赠财产后，向捐赠人开具由财政部门统一监（印）制的捐赠票据。捐赠人匿名或者放弃接受捐赠票据的，慈善组织应当做好相关记录。捐赠人要求签订书面捐赠协议的，慈善组织应当与捐赠人签订书面捐赠协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慈善组织接受非货币形式捐赠，应当与其开展慈善活动的宗旨和活动范围相符，并按照国家财务会计有关规定确定入账价值。</w:t>
      </w:r>
    </w:p>
    <w:p>
      <w:pPr>
        <w:ind w:firstLine="640" w:firstLineChars="200"/>
        <w:rPr>
          <w:rFonts w:ascii="Times New Roman" w:hAnsi="Times New Roman" w:cs="仿宋_GB2312"/>
          <w:sz w:val="32"/>
          <w:szCs w:val="32"/>
        </w:rPr>
      </w:pPr>
      <w:bookmarkStart w:id="19" w:name="第十八条"/>
      <w:bookmarkEnd w:id="19"/>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慈善组织开展慈善活动，应当依照法律、法规、规章和章程的规定，按照募捐方案或者捐赠协议使用捐赠财产。</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慈善组织确需变更募捐方案规定的捐赠财产用途的，应当在变更用途决定作出后、捐赠财产使用前报办理其登记的民政部门备案。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慈善组织确需变更捐赠协议约定的捐赠财产用途的，应当事先征得捐赠人的同意；确实无法联系到捐赠人的，应当将确需改变捐赠财产用途等信息予以公告，公告时间不得少于六十日，公告期限届满仍无法联系到的，视为捐赠人同意。</w:t>
      </w:r>
    </w:p>
    <w:p>
      <w:pPr>
        <w:ind w:firstLine="640" w:firstLineChars="200"/>
        <w:rPr>
          <w:rFonts w:ascii="Times New Roman" w:hAnsi="Times New Roman" w:cs="仿宋_GB2312"/>
          <w:sz w:val="32"/>
          <w:szCs w:val="32"/>
        </w:rPr>
      </w:pPr>
      <w:bookmarkStart w:id="20" w:name="第十九条"/>
      <w:bookmarkEnd w:id="20"/>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设立慈善信托、确定受托人和监察人，应当采取信托合同、遗嘱或者法律、行政法规规定的其他书面形式。</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受托人应当在慈善信托文件签订之日起七日内，按照下列规定进行备案：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（一）慈善组织担任受托人的，向办理其登记的民政部门备案；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（二）信托公司担任受托人的，向办理其登记注册地的设区的市人民政府民政部门备案。</w:t>
      </w:r>
    </w:p>
    <w:p>
      <w:pPr>
        <w:ind w:firstLine="640" w:firstLineChars="200"/>
        <w:rPr>
          <w:rFonts w:ascii="Times New Roman" w:hAnsi="Times New Roman" w:cs="仿宋_GB2312"/>
          <w:sz w:val="32"/>
          <w:szCs w:val="32"/>
        </w:rPr>
      </w:pPr>
      <w:bookmarkStart w:id="21" w:name="第二十条"/>
      <w:bookmarkEnd w:id="21"/>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受托人违反慈善信托文件义务，或者出现依法解散、法定资格丧失、被依法撤销、被宣告破产或者其他难以履行职责的情形的，委托人可以变更受托人。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根据慈善信托文件的约定或者经委托人同意，可以增加新的委托人、信托财产，或者变更受益人范围及其选定程序和方法等信托事项。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按照前两款规定变更受托人或者信托事项的，受托人应当自变更之日起七日内向原备案的民政部门重新备案。</w:t>
      </w:r>
    </w:p>
    <w:p>
      <w:pPr>
        <w:ind w:firstLine="640" w:firstLineChars="200"/>
        <w:rPr>
          <w:rFonts w:ascii="Times New Roman" w:hAnsi="Times New Roman" w:cs="仿宋_GB2312"/>
          <w:sz w:val="32"/>
          <w:szCs w:val="32"/>
        </w:rPr>
      </w:pPr>
      <w:bookmarkStart w:id="22" w:name="第二十一条"/>
      <w:bookmarkEnd w:id="22"/>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鼓励和支持慈善组织、社会工作服务机构、志愿服务组织以及社会工作者、志愿者加强协作，共同开展慈善服务。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鼓励和支持慈善组织委托有服务专长的社会工作服务机构提供专业化慈善服务。</w:t>
      </w:r>
    </w:p>
    <w:p>
      <w:pPr>
        <w:ind w:firstLine="640" w:firstLineChars="200"/>
        <w:rPr>
          <w:rFonts w:ascii="Times New Roman" w:hAnsi="Times New Roman" w:cs="仿宋_GB2312"/>
          <w:sz w:val="32"/>
          <w:szCs w:val="32"/>
        </w:rPr>
      </w:pPr>
      <w:bookmarkStart w:id="23" w:name="第二十二条"/>
      <w:bookmarkEnd w:id="23"/>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慈善组织可以根据需要与受益人签订资助或者服务协议。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慈善组织对受益人的资助或者服务目标已经实现的，有权终止资助或者服务协议，受益人或者其委托的财产管理人应当将剩余资助财产退还慈善组织；因客观情况无法实现的，有权终止资助或者服务协议。</w:t>
      </w:r>
    </w:p>
    <w:p>
      <w:pPr>
        <w:ind w:firstLine="640" w:firstLineChars="200"/>
        <w:rPr>
          <w:rFonts w:ascii="Times New Roman" w:hAnsi="Times New Roman" w:cs="仿宋_GB2312"/>
          <w:sz w:val="32"/>
          <w:szCs w:val="32"/>
        </w:rPr>
      </w:pPr>
      <w:bookmarkStart w:id="24" w:name="第二十三条"/>
      <w:bookmarkEnd w:id="24"/>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慈善组织招募志愿者参与慈善服务，应当按照国务院《志愿服务条例》《浙江省志愿服务条例》等有关规定，遵守慈善服务信息公示、服务协议签订、意外风险告知、志愿者实名登记、志愿服务记录、专门技能培训、人身意外伤害保险等制度。</w:t>
      </w:r>
    </w:p>
    <w:p>
      <w:pPr>
        <w:ind w:firstLine="640" w:firstLineChars="200"/>
        <w:rPr>
          <w:rFonts w:ascii="Times New Roman" w:hAnsi="Times New Roman" w:cs="仿宋_GB2312"/>
          <w:sz w:val="32"/>
          <w:szCs w:val="32"/>
        </w:rPr>
      </w:pPr>
      <w:bookmarkStart w:id="25" w:name="第二十四条"/>
      <w:bookmarkEnd w:id="25"/>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鼓励慈善组织以外的其他组织、个人通过捐赠财产、提供服务、设立慈善信托等方式开展慈善活动。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鼓励城乡社区组织、单位在本社区、单位内部开展群众性互助互济活动。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城乡社区组织、单位开展群众性互助互济活动的，可以依法委托慈善组织进行财产和项目管理或者依法设立慈善信托。</w:t>
      </w:r>
    </w:p>
    <w:p>
      <w:pPr>
        <w:ind w:firstLine="640" w:firstLineChars="200"/>
        <w:rPr>
          <w:rFonts w:ascii="Times New Roman" w:hAnsi="Times New Roman" w:cs="仿宋_GB2312"/>
          <w:sz w:val="32"/>
          <w:szCs w:val="32"/>
        </w:rPr>
      </w:pPr>
      <w:bookmarkStart w:id="26" w:name="第二十五条"/>
      <w:bookmarkEnd w:id="26"/>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省人民政府设立“浙江慈善奖”，每三年评选表彰一次。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设区的市、县（市、区）人民政府根据国家和省有关规定，对在慈善事业发展中做出突出贡献的自然人、法人和非法人组织给予表彰。</w:t>
      </w:r>
    </w:p>
    <w:p>
      <w:pPr>
        <w:ind w:firstLine="640" w:firstLineChars="200"/>
        <w:rPr>
          <w:rFonts w:ascii="Times New Roman" w:hAnsi="Times New Roman" w:cs="仿宋_GB2312"/>
          <w:sz w:val="32"/>
          <w:szCs w:val="32"/>
        </w:rPr>
      </w:pPr>
      <w:bookmarkStart w:id="27" w:name="第二十六条"/>
      <w:bookmarkEnd w:id="27"/>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省民政部门应当依托一体化智能化公共数据平台建立健全全省统一的慈善服务管理平台，开展慈善法律法规规章宣传，为慈善需求发布、慈善项目推介、慈善组织申请登记和认定、公开募捐资格审批、捐赠财产变更用途备案、慈善信托备案等提供便捷、高效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县级以上人民政府民政部门应当在国家统一的慈善信息平台及时向社会公开慈善信息。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县级以上人民政府民政部门应当建立慈善与社会救助工作衔接机制，实现民政部门与其他社会救助管理部门之间的信息共享以及与慈善组织之间的信息互通，促进慈善资源的合理配置。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县级以上人民政府民政部门以及乡（镇）人民政府、街道办事处，应当依托社会救助站（点）、社区服务中心等公共设施推进基层慈善综合服务，为社会力量开展慈善捐赠以及其他慈善活动提供条件和便利。</w:t>
      </w:r>
    </w:p>
    <w:p>
      <w:pPr>
        <w:ind w:firstLine="640" w:firstLineChars="200"/>
        <w:rPr>
          <w:rFonts w:ascii="Times New Roman" w:hAnsi="Times New Roman" w:cs="仿宋_GB2312"/>
          <w:sz w:val="32"/>
          <w:szCs w:val="32"/>
        </w:rPr>
      </w:pPr>
      <w:bookmarkStart w:id="28" w:name="第二十七条"/>
      <w:bookmarkEnd w:id="28"/>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县级以上人民政府及其有关部门应当落实国家和省对慈善组织、捐赠人、受益人、慈善信托委托人的税费优惠。</w:t>
      </w:r>
    </w:p>
    <w:p>
      <w:pPr>
        <w:ind w:firstLine="640" w:firstLineChars="200"/>
        <w:rPr>
          <w:rFonts w:ascii="Times New Roman" w:hAnsi="Times New Roman" w:cs="仿宋_GB2312"/>
          <w:sz w:val="32"/>
          <w:szCs w:val="32"/>
        </w:rPr>
      </w:pPr>
      <w:bookmarkStart w:id="29" w:name="第二十八条"/>
      <w:bookmarkEnd w:id="29"/>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县级以上人民政府民政、教育等部门应当采取措施，促进慈善事业的理论研究、组织管理、项目实施、专业服务和宣传推广等方面的人才培养。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鼓励设立以慈善组织人力资源管理和慈善专业人才培养为目的的慈善组织和慈善信托。</w:t>
      </w:r>
    </w:p>
    <w:p>
      <w:pPr>
        <w:ind w:firstLine="640" w:firstLineChars="200"/>
        <w:rPr>
          <w:rFonts w:ascii="Times New Roman" w:hAnsi="Times New Roman" w:cs="仿宋_GB2312"/>
          <w:sz w:val="32"/>
          <w:szCs w:val="32"/>
        </w:rPr>
      </w:pPr>
      <w:bookmarkStart w:id="30" w:name="第二十九条"/>
      <w:bookmarkEnd w:id="30"/>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县级以上人民政府及其有关部门可以依法通过购买服务等方式，支持符合条件的慈善组织、社会工作服务机构、志愿服务组织向社会提供服务，并依照政府采购有关法律法规向社会公开相关情况。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县级以上人民政府应当加大对扶贫济困类慈善活动的支持力度，按照国家有关规定实行特殊的优惠政策。利用财政资金向慈善组织购买服务，应当以扶贫济困类项目为重点。</w:t>
      </w:r>
    </w:p>
    <w:p>
      <w:pPr>
        <w:ind w:firstLine="640" w:firstLineChars="200"/>
        <w:rPr>
          <w:rFonts w:ascii="Times New Roman" w:hAnsi="Times New Roman" w:cs="仿宋_GB2312"/>
          <w:sz w:val="32"/>
          <w:szCs w:val="32"/>
        </w:rPr>
      </w:pPr>
      <w:bookmarkStart w:id="31" w:name="第三十条"/>
      <w:bookmarkEnd w:id="31"/>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民政、财政、税务等部门在办理慈善组织登记和认定、公开募捐资格审批、公开募捐方案备案、变更捐赠财产用途备案、慈善信托备案、税费优惠等事项时，应当减少办理环节，整合办理材料，缩短办理时限，优化办理流程，实行网上办理，提高办理效率。</w:t>
      </w:r>
    </w:p>
    <w:p>
      <w:pPr>
        <w:ind w:firstLine="640" w:firstLineChars="200"/>
        <w:rPr>
          <w:rFonts w:ascii="Times New Roman" w:hAnsi="Times New Roman" w:cs="仿宋_GB2312"/>
          <w:sz w:val="32"/>
          <w:szCs w:val="32"/>
        </w:rPr>
      </w:pPr>
      <w:bookmarkStart w:id="32" w:name="第三十一条"/>
      <w:bookmarkEnd w:id="32"/>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鼓励企业事业单位和其他组织为慈善活动提供场所和其他便利条件，并减免相关费用。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鼓励新闻、出版、金融、财会、审计、法律服务等机构在为慈善组织、慈善信托提供相应服务时，减免相关服务费用。</w:t>
      </w:r>
    </w:p>
    <w:p>
      <w:pPr>
        <w:ind w:firstLine="640" w:firstLineChars="200"/>
        <w:rPr>
          <w:rFonts w:ascii="Times New Roman" w:hAnsi="Times New Roman" w:cs="仿宋_GB2312"/>
          <w:sz w:val="32"/>
          <w:szCs w:val="32"/>
        </w:rPr>
      </w:pPr>
      <w:bookmarkStart w:id="33" w:name="第三十二条"/>
      <w:bookmarkEnd w:id="33"/>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对在慈善事业发展中做出较大贡献的个人，本人或者其家庭生活遇到困难时，慈善组织可以在同等条件下优先给予帮助。</w:t>
      </w:r>
    </w:p>
    <w:p>
      <w:pPr>
        <w:ind w:firstLine="640" w:firstLineChars="200"/>
        <w:rPr>
          <w:rFonts w:ascii="Times New Roman" w:hAnsi="Times New Roman" w:cs="仿宋_GB2312"/>
          <w:sz w:val="32"/>
          <w:szCs w:val="32"/>
        </w:rPr>
      </w:pPr>
      <w:bookmarkStart w:id="34" w:name="第三十三条"/>
      <w:bookmarkEnd w:id="34"/>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县级以上人民政府民政部门应当会同有关部门建立慈善组织及其负责人、慈善信托受托人信用记录制度，将信用记录纳入省公共信用信息服务平台，并依法向社会公布。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县级以上人民政府民政部门应当定期组织有关单位、专家或者委托第三方机构对慈善组织进行评估，并向社会公布评估结果；鼓励和支持第三方机构对慈善组织进行评估。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有关部门应当将慈善组织信用状况、评估结果作为财政扶持、政府购买服务等的参考依据。</w:t>
      </w:r>
    </w:p>
    <w:p>
      <w:pPr>
        <w:ind w:firstLine="640" w:firstLineChars="200"/>
        <w:rPr>
          <w:rFonts w:ascii="Times New Roman" w:hAnsi="Times New Roman" w:cs="仿宋_GB2312"/>
          <w:sz w:val="32"/>
          <w:szCs w:val="32"/>
        </w:rPr>
      </w:pPr>
      <w:bookmarkStart w:id="35" w:name="第三十四条"/>
      <w:bookmarkEnd w:id="35"/>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县级以上人民政府民政部门应当加强对慈善组织、慈善活动的监督检查，发现违法行为的，应当及时调查处理；对情节轻微、没有造成危害后果的，可以采用约谈、告诫等方式，督促其及时纠正。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县级以上人民政府财政、税务、审计等部门依法对用于慈善活动的财政性资金、社会捐赠财产的管理和使用情况，以及慈善组织享受税费优惠情况实施监督。</w:t>
      </w:r>
    </w:p>
    <w:p>
      <w:pPr>
        <w:ind w:firstLine="640" w:firstLineChars="200"/>
        <w:rPr>
          <w:rFonts w:ascii="Times New Roman" w:hAnsi="Times New Roman" w:cs="仿宋_GB2312"/>
          <w:sz w:val="32"/>
          <w:szCs w:val="32"/>
        </w:rPr>
      </w:pPr>
      <w:bookmarkStart w:id="36" w:name="第三十五条"/>
      <w:bookmarkEnd w:id="36"/>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任何单位和个人发现慈善组织、慈善信托存在违法行为的，可以向民政部门、其他有关部门或者慈善行业组织投诉、举报。民政部门、其他有关部门或者慈善行业组织接到投诉、举报后，应当及时调查处理并将处理结果告知投诉、举报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支持社会公众、媒体对慈善组织、慈善活动进行监督，对假借慈善名义或者假冒慈善组织骗取财产、违法开展公开募捐以及慈善活动中存在的其他违法违规行为进行曝光，发挥舆论和社会监督作用。</w:t>
      </w:r>
    </w:p>
    <w:p>
      <w:pPr>
        <w:ind w:firstLine="640" w:firstLineChars="200"/>
        <w:rPr>
          <w:rFonts w:ascii="Times New Roman" w:hAnsi="Times New Roman" w:cs="仿宋_GB2312"/>
          <w:sz w:val="32"/>
          <w:szCs w:val="32"/>
        </w:rPr>
      </w:pPr>
      <w:bookmarkStart w:id="37" w:name="第三十六条"/>
      <w:bookmarkEnd w:id="37"/>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违反本办法第十条第三款规定，慈善组织采购物资、服务明显高于市场价格，造成慈善财产损失的，由县级以上人民政府民政部门按照慈善法第一百一十条、第一百一十二条规定予以处罚。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违反本办法规定的其他行为，按照慈善法和其他有关法律、法规的规定追究法律责任。</w:t>
      </w:r>
    </w:p>
    <w:p>
      <w:pPr>
        <w:ind w:firstLine="640" w:firstLineChars="200"/>
        <w:rPr>
          <w:rFonts w:ascii="Times New Roman" w:hAnsi="Times New Roman" w:cs="仿宋_GB2312"/>
          <w:sz w:val="32"/>
          <w:szCs w:val="32"/>
        </w:rPr>
      </w:pPr>
      <w:bookmarkStart w:id="38" w:name="第三十七条"/>
      <w:bookmarkEnd w:id="38"/>
      <w:r>
        <w:rPr>
          <w:rFonts w:ascii="Times New Roman" w:eastAsia="黑体" w:hAnsi="Times New Roman" w:cs="黑体" w:hint="eastAsia"/>
          <w:sz w:val="32"/>
          <w:szCs w:val="32"/>
        </w:rPr>
        <w:t>第三十七条</w:t>
      </w:r>
      <w:r>
        <w:rPr>
          <w:rFonts w:ascii="Times New Roman" w:hAnsi="Times New Roman" w:cs="仿宋_GB2312" w:hint="eastAsia"/>
          <w:sz w:val="32"/>
          <w:szCs w:val="32"/>
        </w:rPr>
        <w:t>　</w:t>
      </w:r>
      <w:r>
        <w:rPr>
          <w:rFonts w:ascii="Times New Roman" w:hAnsi="Times New Roman" w:cs="仿宋_GB2312" w:hint="eastAsia"/>
          <w:sz w:val="32"/>
          <w:szCs w:val="32"/>
        </w:rPr>
        <w:t>本办法自2019年1月1日起施行。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