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14:paraId="41D48980">
      <w:pPr>
        <w:rPr>
          <w:rFonts w:ascii="Times New Roman" w:eastAsia="宋体" w:hAnsi="Times New Roman" w:cs="宋体"/>
          <w:szCs w:val="32"/>
        </w:rPr>
      </w:pPr>
    </w:p>
    <w:p>
      <w:pPr>
        <w:rPr>
          <w:rFonts w:ascii="Times New Roman" w:eastAsia="宋体" w:hAnsi="Times New Roman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ESI小标宋-GB18030" w:eastAsia="CESI小标宋-GB18030" w:hAnsi="CESI小标宋-GB18030" w:cs="CESI小标宋-GB18030" w:hint="eastAsia"/>
          <w:color w:val="333333"/>
          <w:sz w:val="44"/>
          <w:szCs w:val="44"/>
          <w:shd w:val="clear" w:color="auto" w:fill="FFFFFF"/>
        </w:rPr>
      </w:pPr>
      <w:bookmarkStart w:id="0" w:name="拉萨市老城区保护条例"/>
      <w:bookmarkEnd w:id="0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拉萨市老城区保护条例</w:t>
      </w:r>
    </w:p>
    <w:p>
      <w:pPr>
        <w:rPr>
          <w:rFonts w:ascii="Times New Roman" w:eastAsia="宋体" w:hAnsi="Times New Roman" w:cs="宋体"/>
          <w:szCs w:val="32"/>
        </w:rPr>
      </w:pPr>
    </w:p>
    <w:p w14:paraId="07D4C064">
      <w:pPr>
        <w:widowControl/>
        <w:ind w:left="640" w:right="640" w:leftChars="200" w:rightChars="200"/>
        <w:rPr>
          <w:rFonts w:ascii="Times New Roman" w:eastAsia="楷体_GB2312" w:hAnsi="Times New Roman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ascii="Times New Roman" w:eastAsia="楷体_GB2312" w:hAnsi="Times New Roman" w:cs="楷体_GB2312" w:hint="eastAsia"/>
          <w:bCs/>
          <w:spacing w:val="0"/>
          <w:sz w:val="32"/>
          <w:szCs w:val="32"/>
          <w:shd w:val="clear" w:color="auto" w:fill="FFFFFF"/>
        </w:rPr>
        <w:t>（2013年6月17日拉萨市第十届人民代表大会常务委员会第九次会议通过　2013年7月25日西藏自治区第十届人民代表大会常务委员会第五次会议批准　2019年8月28日拉萨市第十一届人民代表大会常务委员会第十八次会议通过　2019年11月29日西藏自治区第十一届人民代表大会常务委员会第十五次会议批准　根据2024年12月27日拉萨市第十二届人民代表大会常务委员会第二十七次会议《关于修改〈拉萨市水利工程管理条例〉等5件地方性法规的决定》修正　2025年3月28日西藏自治区第十二届人民代表大会常务委员会第十五次会议批准）</w:t>
      </w:r>
    </w:p>
    <w:p>
      <w:pPr>
        <w:rPr>
          <w:rFonts w:ascii="Times New Roman" w:eastAsia="宋体" w:hAnsi="Times New Roman" w:cs="宋体"/>
          <w:szCs w:val="32"/>
        </w:rPr>
      </w:pPr>
    </w:p>
    <w:p w14:paraId="57F2AA95">
      <w:pPr>
        <w:spacing w:line="240" w:lineRule="auto"/>
        <w:ind w:firstLine="0"/>
        <w:jc w:val="center"/>
        <w:rPr>
          <w:rFonts w:ascii="Times New Roman" w:hAnsi="Times New Roman"/>
        </w:rPr>
      </w:pPr>
      <w:bookmarkStart w:id="2" w:name="目录"/>
      <w:bookmarkEnd w:id="2"/>
      <w:r>
        <w:rPr>
          <w:rFonts w:ascii="Times New Roman" w:eastAsia="楷体_GB2312" w:hAnsi="Times New Roman" w:cs="楷体_GB2312"/>
          <w:sz w:val="32"/>
        </w:rPr>
        <w:t>目　　录</w:t>
      </w:r>
    </w:p>
    <w:p w14:paraId="4D38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right="0" w:hanging="640" w:leftChars="200" w:rightChars="0" w:hangingChars="200"/>
        <w:jc w:val="both"/>
        <w:textAlignment w:val="auto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/>
          <w:sz w:val="32"/>
        </w:rPr>
        <w:t>第一章　总　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right="0" w:hanging="640" w:leftChars="200" w:rightChars="0" w:hangingChars="200"/>
        <w:jc w:val="both"/>
        <w:textAlignment w:val="auto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/>
          <w:sz w:val="32"/>
        </w:rPr>
        <w:t>第二章　保　　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right="0" w:hanging="640" w:leftChars="200" w:rightChars="0" w:hangingChars="200"/>
        <w:jc w:val="both"/>
        <w:textAlignment w:val="auto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/>
          <w:sz w:val="32"/>
        </w:rPr>
        <w:t>第三章　管　　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right="0" w:hanging="640" w:leftChars="200" w:rightChars="0" w:hangingChars="200"/>
        <w:jc w:val="both"/>
        <w:textAlignment w:val="auto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/>
          <w:sz w:val="32"/>
        </w:rPr>
        <w:t>第四章　利　　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right="0" w:hanging="640" w:leftChars="200" w:rightChars="0" w:hangingChars="200"/>
        <w:jc w:val="both"/>
        <w:textAlignment w:val="auto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/>
          <w:sz w:val="32"/>
        </w:rPr>
        <w:t>第五章　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right="0" w:hanging="640" w:leftChars="200" w:rightChars="0" w:hangingChars="200"/>
        <w:jc w:val="both"/>
        <w:textAlignment w:val="auto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/>
          <w:sz w:val="32"/>
        </w:rPr>
        <w:t>第六章　附　　则</w:t>
      </w:r>
    </w:p>
    <w:p>
      <w:pPr>
        <w:rPr>
          <w:rFonts w:ascii="Times New Roman" w:eastAsia="宋体" w:hAnsi="Times New Roman" w:cs="宋体"/>
          <w:szCs w:val="32"/>
        </w:rPr>
      </w:pPr>
    </w:p>
    <w:p w14:paraId="5888BCF4">
      <w:pPr>
        <w:jc w:val="center"/>
        <w:rPr>
          <w:rFonts w:ascii="Times New Roman" w:eastAsia="黑体" w:hAnsi="Times New Roman" w:cs="黑体"/>
          <w:szCs w:val="32"/>
        </w:rPr>
      </w:pPr>
      <w:bookmarkStart w:id="3" w:name="第一章 总则"/>
      <w:bookmarkEnd w:id="3"/>
      <w:r>
        <w:rPr>
          <w:rFonts w:ascii="Times New Roman" w:eastAsia="黑体" w:hAnsi="Times New Roman" w:cs="黑体" w:hint="eastAsia"/>
          <w:szCs w:val="32"/>
        </w:rPr>
        <w:t>第一章　总　　则</w:t>
      </w:r>
    </w:p>
    <w:p>
      <w:pPr>
        <w:rPr>
          <w:rFonts w:ascii="Times New Roman" w:eastAsia="宋体" w:hAnsi="Times New Roman" w:cs="宋体"/>
          <w:szCs w:val="32"/>
        </w:rPr>
      </w:pPr>
    </w:p>
    <w:p w14:paraId="03D3F75D"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" w:name="第一条"/>
      <w:bookmarkEnd w:id="4"/>
      <w:r>
        <w:rPr>
          <w:rFonts w:ascii="Times New Roman" w:eastAsia="黑体" w:hAnsi="Times New Roman" w:cs="黑体" w:hint="eastAsia"/>
          <w:sz w:val="32"/>
          <w:szCs w:val="32"/>
        </w:rPr>
        <w:t>第一条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为了加强对拉萨老城区保护，继承民族优秀历史文化遗产，根据《中华人民共和国城乡规划法》《中华人民共和国文物保护法》等相关法律、法规的规定，结合本市实际，制定本条例。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5" w:name="第二条"/>
      <w:bookmarkEnd w:id="5"/>
      <w:r>
        <w:rPr>
          <w:rFonts w:ascii="Times New Roman" w:eastAsia="黑体" w:hAnsi="Times New Roman" w:cs="黑体" w:hint="eastAsia"/>
          <w:sz w:val="32"/>
          <w:szCs w:val="32"/>
        </w:rPr>
        <w:t>第二条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本条例所称老城区是指拉萨市市区林廓东路以西、江苏路以北、朵森格路以东、林廓北路以南，总面积1.33平方公里。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6" w:name="第三条"/>
      <w:bookmarkEnd w:id="6"/>
      <w:r>
        <w:rPr>
          <w:rFonts w:ascii="Times New Roman" w:eastAsia="黑体" w:hAnsi="Times New Roman" w:cs="黑体" w:hint="eastAsia"/>
          <w:sz w:val="32"/>
          <w:szCs w:val="32"/>
        </w:rPr>
        <w:t>第三条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老城区区域内的任何单位、组织和个人以及进入老城区内的任何单位、组织和个人应当遵守本条例。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7" w:name="第四条"/>
      <w:bookmarkEnd w:id="7"/>
      <w:r>
        <w:rPr>
          <w:rFonts w:ascii="Times New Roman" w:eastAsia="黑体" w:hAnsi="Times New Roman" w:cs="黑体" w:hint="eastAsia"/>
          <w:sz w:val="32"/>
          <w:szCs w:val="32"/>
        </w:rPr>
        <w:t>第四条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老城区保护应当遵循传承历史、保护为主、严格管理、合理利用、保持传统特色的原则。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8" w:name="第五条"/>
      <w:bookmarkEnd w:id="8"/>
      <w:r>
        <w:rPr>
          <w:rFonts w:ascii="Times New Roman" w:eastAsia="黑体" w:hAnsi="Times New Roman" w:cs="黑体" w:hint="eastAsia"/>
          <w:sz w:val="32"/>
          <w:szCs w:val="32"/>
        </w:rPr>
        <w:t>第五条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拉萨市人民政府应当加强对老城区保护工作的统一领导，将老城区保护纳入国民经济和社会发展计划，所需经费列入财政预算。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9" w:name="第六条"/>
      <w:bookmarkEnd w:id="9"/>
      <w:r>
        <w:rPr>
          <w:rFonts w:ascii="Times New Roman" w:eastAsia="黑体" w:hAnsi="Times New Roman" w:cs="黑体" w:hint="eastAsia"/>
          <w:sz w:val="32"/>
          <w:szCs w:val="32"/>
        </w:rPr>
        <w:t>第六条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拉萨市人民政府设立老城区保护机构，老城区保护机构为拉萨市人民政府派出机构，负责老城区保护和管理工作。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拉萨市发展和改革、财政、文物、自然资源、住房和城乡建设、公安、消防、民族、宗教、城市管理、旅游、生态环境、市场监督管理、商务、交通运输、林业和草原等主管部门和城关区人民政府按照各自职责，做好老城区的保护、管理和利用工作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0" w:name="第七条"/>
      <w:bookmarkEnd w:id="10"/>
      <w:r>
        <w:rPr>
          <w:rFonts w:ascii="Times New Roman" w:eastAsia="黑体" w:hAnsi="Times New Roman" w:cs="黑体" w:hint="eastAsia"/>
          <w:sz w:val="32"/>
          <w:szCs w:val="32"/>
        </w:rPr>
        <w:t>第七条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拉萨市人民政府应当鼓励企业、事业单位、社会团体，其他组织和个人参与老城区的保护。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1" w:name="第八条"/>
      <w:bookmarkEnd w:id="11"/>
      <w:r>
        <w:rPr>
          <w:rFonts w:ascii="Times New Roman" w:eastAsia="黑体" w:hAnsi="Times New Roman" w:cs="黑体" w:hint="eastAsia"/>
          <w:sz w:val="32"/>
          <w:szCs w:val="32"/>
        </w:rPr>
        <w:t>第八条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拉萨市人民政府应当对保护老城区作出突出贡献的组织和个人，给予表彰、奖励。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2" w:name="第九条"/>
      <w:bookmarkEnd w:id="12"/>
      <w:r>
        <w:rPr>
          <w:rFonts w:ascii="Times New Roman" w:eastAsia="黑体" w:hAnsi="Times New Roman" w:cs="黑体" w:hint="eastAsia"/>
          <w:sz w:val="32"/>
          <w:szCs w:val="32"/>
        </w:rPr>
        <w:t>第九条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任何组织和个人均有权对损害老城区的行为进行举报。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jc w:val="center"/>
        <w:rPr>
          <w:rFonts w:ascii="Times New Roman" w:eastAsia="黑体" w:hAnsi="Times New Roman" w:cs="黑体"/>
          <w:szCs w:val="32"/>
        </w:rPr>
      </w:pPr>
      <w:bookmarkStart w:id="13" w:name="第二章 保护"/>
      <w:bookmarkEnd w:id="13"/>
      <w:r>
        <w:rPr>
          <w:rFonts w:ascii="Times New Roman" w:eastAsia="黑体" w:hAnsi="Times New Roman" w:cs="黑体" w:hint="eastAsia"/>
          <w:szCs w:val="32"/>
        </w:rPr>
        <w:t>第二章　保　　护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4" w:name="第十条"/>
      <w:bookmarkEnd w:id="14"/>
      <w:r>
        <w:rPr>
          <w:rFonts w:ascii="Times New Roman" w:eastAsia="黑体" w:hAnsi="Times New Roman" w:cs="黑体" w:hint="eastAsia"/>
          <w:sz w:val="32"/>
          <w:szCs w:val="32"/>
        </w:rPr>
        <w:t>第十条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拉萨市人民政府负责组织编制《拉萨市老城区保护规划》，经自治区人民政府批准后公布实施。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5" w:name="第十一条"/>
      <w:bookmarkEnd w:id="15"/>
      <w:r>
        <w:rPr>
          <w:rFonts w:ascii="Times New Roman" w:eastAsia="黑体" w:hAnsi="Times New Roman" w:cs="黑体" w:hint="eastAsia"/>
          <w:sz w:val="32"/>
          <w:szCs w:val="32"/>
        </w:rPr>
        <w:t>第十一条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拉萨老城区分为核心保护区和保护缓冲区。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核心保护区为围绕八廓街为主体形成的历史文化中心区，建（构）筑物高度不得超过10米；大昭寺广场周边建（构）筑物高度应当与核心保护区保持一致。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老城区其他区域为保护缓冲区，建（构）筑物高度不得超过12米。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6" w:name="第十二条"/>
      <w:bookmarkEnd w:id="16"/>
      <w:r>
        <w:rPr>
          <w:rFonts w:ascii="Times New Roman" w:eastAsia="黑体" w:hAnsi="Times New Roman" w:cs="黑体" w:hint="eastAsia"/>
          <w:sz w:val="32"/>
          <w:szCs w:val="32"/>
        </w:rPr>
        <w:t>第十二条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老城区核心保护区内，除经过审批的基础设施和公共服务设施外，不得进行新建、改建、扩建和拆除建（构）筑物；进行房屋、设施整修和功能配置调整时，外观应当保持原状。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老城区保护缓冲区内改建、新建的建（构）筑物，其体量、高度、色彩及形式应当与相邻部位的风貌相一致。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对不符合老城区总体风貌的现有建（构）筑物逐步拆除、改建，具体方案由老城区保护机构提出，按照有关程序报经批准后实施。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7" w:name="第十三条"/>
      <w:bookmarkEnd w:id="17"/>
      <w:r>
        <w:rPr>
          <w:rFonts w:ascii="Times New Roman" w:eastAsia="黑体" w:hAnsi="Times New Roman" w:cs="黑体" w:hint="eastAsia"/>
          <w:sz w:val="32"/>
          <w:szCs w:val="32"/>
        </w:rPr>
        <w:t>第十三条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老城区内的历史街巷应当保持原有的视线道廊、空间尺度及历史原貌。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8" w:name="第十四条"/>
      <w:bookmarkEnd w:id="18"/>
      <w:r>
        <w:rPr>
          <w:rFonts w:ascii="Times New Roman" w:eastAsia="黑体" w:hAnsi="Times New Roman" w:cs="黑体" w:hint="eastAsia"/>
          <w:sz w:val="32"/>
          <w:szCs w:val="32"/>
        </w:rPr>
        <w:t>第十四条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未经老城区保护机构批准，不得擅自修缮、改造老城区内的建（构）筑物。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老城区内传统建（构）筑物、古建大院的管理、维护和修缮由所有权人负责。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对影响老城区市政市容和行人安全的危旧传统建（构）筑物及危险建（构）筑物，老城区保护机构应当组织鉴定，确需整修的由所有权人予以整修。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所有权人在维护、修缮、整修过程中确有困难的，按照有关规定给予补助。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尚未申报或未公布为文物保护单位，但具有一定文化、历史、纪念意义的古建大院，参照《中华人民共和国文物保护法》规定进行管理。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9" w:name="第十五条"/>
      <w:bookmarkEnd w:id="19"/>
      <w:r>
        <w:rPr>
          <w:rFonts w:ascii="Times New Roman" w:eastAsia="黑体" w:hAnsi="Times New Roman" w:cs="黑体" w:hint="eastAsia"/>
          <w:sz w:val="32"/>
          <w:szCs w:val="32"/>
        </w:rPr>
        <w:t>第十五条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老城区保护范围内的古建大院及传统建（构）筑物被确定为文物的，拉萨市人民政府应当按照《中华人民共和国文物保护法》的规定进行管理，并设立保护标志。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jc w:val="center"/>
        <w:rPr>
          <w:rFonts w:ascii="Times New Roman" w:eastAsia="黑体" w:hAnsi="Times New Roman" w:cs="黑体"/>
          <w:szCs w:val="32"/>
        </w:rPr>
      </w:pPr>
      <w:bookmarkStart w:id="20" w:name="第三章 管理"/>
      <w:bookmarkEnd w:id="20"/>
      <w:r>
        <w:rPr>
          <w:rFonts w:ascii="Times New Roman" w:eastAsia="黑体" w:hAnsi="Times New Roman" w:cs="黑体" w:hint="eastAsia"/>
          <w:szCs w:val="32"/>
        </w:rPr>
        <w:t>第三章　管　　理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1" w:name="第十六条"/>
      <w:bookmarkEnd w:id="21"/>
      <w:r>
        <w:rPr>
          <w:rFonts w:ascii="Times New Roman" w:eastAsia="黑体" w:hAnsi="Times New Roman" w:cs="黑体" w:hint="eastAsia"/>
          <w:sz w:val="32"/>
          <w:szCs w:val="32"/>
        </w:rPr>
        <w:t>第十六条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老城区核心保护区内，除执行公务的公安、消防车辆以及救护、环卫、殡葬等车辆外，其他机动车辆未经老城区保护机构批准不得进入；自行车、三轮车等非机动车辆应当推行，并停放在指定地点。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2" w:name="第十七条"/>
      <w:bookmarkEnd w:id="22"/>
      <w:r>
        <w:rPr>
          <w:rFonts w:ascii="Times New Roman" w:eastAsia="黑体" w:hAnsi="Times New Roman" w:cs="黑体" w:hint="eastAsia"/>
          <w:sz w:val="32"/>
          <w:szCs w:val="32"/>
        </w:rPr>
        <w:t>第十七条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老城区核心保护区内禁止设置户外广告、电子显示屏，安装遮光篷、遮雨篷、阳光棚。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3" w:name="第十八条"/>
      <w:bookmarkEnd w:id="23"/>
      <w:r>
        <w:rPr>
          <w:rFonts w:ascii="Times New Roman" w:eastAsia="黑体" w:hAnsi="Times New Roman" w:cs="黑体" w:hint="eastAsia"/>
          <w:sz w:val="32"/>
          <w:szCs w:val="32"/>
        </w:rPr>
        <w:t>第十八条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任何单位和个人不得损毁传统建（构）筑物的保护标志。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4" w:name="第十九条"/>
      <w:bookmarkEnd w:id="24"/>
      <w:r>
        <w:rPr>
          <w:rFonts w:ascii="Times New Roman" w:eastAsia="黑体" w:hAnsi="Times New Roman" w:cs="黑体" w:hint="eastAsia"/>
          <w:sz w:val="32"/>
          <w:szCs w:val="32"/>
        </w:rPr>
        <w:t>第十九条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通讯、电力、有线电视、供暖、给排水、消防等公益性基础设施建设需要在老城区挖掘道路的，应当向老城区保护机构提出申请，并附修复方案，经同意后办理相关手续。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5" w:name="第二十条"/>
      <w:bookmarkEnd w:id="25"/>
      <w:r>
        <w:rPr>
          <w:rFonts w:ascii="Times New Roman" w:eastAsia="黑体" w:hAnsi="Times New Roman" w:cs="黑体" w:hint="eastAsia"/>
          <w:sz w:val="32"/>
          <w:szCs w:val="32"/>
        </w:rPr>
        <w:t>第二十条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在老城区内推广使用清洁能源；所有排烟装置应当采取消烟除尘措施。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6" w:name="第二十一条"/>
      <w:bookmarkEnd w:id="26"/>
      <w:r>
        <w:rPr>
          <w:rFonts w:ascii="Times New Roman" w:eastAsia="黑体" w:hAnsi="Times New Roman" w:cs="黑体" w:hint="eastAsia"/>
          <w:sz w:val="32"/>
          <w:szCs w:val="32"/>
        </w:rPr>
        <w:t>第二十一条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老城区保护机构应当加强垃圾网点的标准化建设，推行生活垃圾分类和袋装化，实行定时定点清理。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7" w:name="第二十二条"/>
      <w:bookmarkEnd w:id="27"/>
      <w:r>
        <w:rPr>
          <w:rFonts w:ascii="Times New Roman" w:eastAsia="黑体" w:hAnsi="Times New Roman" w:cs="黑体" w:hint="eastAsia"/>
          <w:sz w:val="32"/>
          <w:szCs w:val="32"/>
        </w:rPr>
        <w:t>第二十二条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老城区内不得有下列影响老城区市容环境卫生和人身安全的行为：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（一）随意丢弃垃圾；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（二）随地吐痰、便溺；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（三）乱倒、乱排污水；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（四）焚烧垃圾或者其他废弃物；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（五）设置宣传促销摊点，发放促销传单；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（六）使用高音喇叭及其他噪音扰民行为；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（七）损害市政公共设施及绿地、道路等；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（八）占道经营、堆物作业等；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（九）户外放养宠物或者畜禽；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（十）燃放、生产、经营、存储烟花爆竹等易燃易爆物品；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（十一）其他有损市容环境卫生的行为。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8" w:name="第二十三条"/>
      <w:bookmarkEnd w:id="28"/>
      <w:r>
        <w:rPr>
          <w:rFonts w:ascii="Times New Roman" w:eastAsia="黑体" w:hAnsi="Times New Roman" w:cs="黑体" w:hint="eastAsia"/>
          <w:sz w:val="32"/>
          <w:szCs w:val="32"/>
        </w:rPr>
        <w:t>第二十三条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在老城区内从事经营活动的单位和个人，不得有下列行为：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（一）不按照规定的时间、地点经营的；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（二）利用各种形式追客、拉客、宰客的；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（三）所销售商品及服务未明码标价的。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9" w:name="第二十四条"/>
      <w:bookmarkEnd w:id="29"/>
      <w:r>
        <w:rPr>
          <w:rFonts w:ascii="Times New Roman" w:eastAsia="黑体" w:hAnsi="Times New Roman" w:cs="黑体" w:hint="eastAsia"/>
          <w:sz w:val="32"/>
          <w:szCs w:val="32"/>
        </w:rPr>
        <w:t>第二十四条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老城区内应当按照国家现行消防技术标准建设完善消防给水、消防通道、消防通信等公共消防设施。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jc w:val="center"/>
        <w:rPr>
          <w:rFonts w:ascii="Times New Roman" w:eastAsia="黑体" w:hAnsi="Times New Roman" w:cs="黑体"/>
          <w:szCs w:val="32"/>
        </w:rPr>
      </w:pPr>
      <w:bookmarkStart w:id="30" w:name="第四章 利用"/>
      <w:bookmarkEnd w:id="30"/>
      <w:r>
        <w:rPr>
          <w:rFonts w:ascii="Times New Roman" w:eastAsia="黑体" w:hAnsi="Times New Roman" w:cs="黑体" w:hint="eastAsia"/>
          <w:szCs w:val="32"/>
        </w:rPr>
        <w:t>第四章　利　　用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1" w:name="第二十五条"/>
      <w:bookmarkEnd w:id="31"/>
      <w:r>
        <w:rPr>
          <w:rFonts w:ascii="Times New Roman" w:eastAsia="黑体" w:hAnsi="Times New Roman" w:cs="黑体" w:hint="eastAsia"/>
          <w:sz w:val="32"/>
          <w:szCs w:val="32"/>
        </w:rPr>
        <w:t>第二十五条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拉萨市人民政府应当对老城区的经营活动进行指导和监督，发布鼓励或者禁止经营的项目目录，重点发展具有当地民族特色的无污染、无公害产业，保持老城区的传统文化特色。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老城区保护机构根据项目目录，合理安排老城区内商品经营市场布局，并予以公告。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2" w:name="第二十六条"/>
      <w:bookmarkEnd w:id="32"/>
      <w:r>
        <w:rPr>
          <w:rFonts w:ascii="Times New Roman" w:eastAsia="黑体" w:hAnsi="Times New Roman" w:cs="黑体" w:hint="eastAsia"/>
          <w:sz w:val="32"/>
          <w:szCs w:val="32"/>
        </w:rPr>
        <w:t>第二十六条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老城区内鼓励从事下列经营项目：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（一）开办工艺品陈列室、展览馆、博物馆等文化旅游场馆；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（二）无污染传统民间工艺品及旅游产品制作；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（三）开办民俗客栈、旅馆、饭店等服务场所；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（四）开发传统饮食业、开展娱乐业及民间艺术表演；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（五）民间工艺品收藏、交易、展示；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（六）其他应当鼓励的经营项目。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3" w:name="第二十七条"/>
      <w:bookmarkEnd w:id="33"/>
      <w:r>
        <w:rPr>
          <w:rFonts w:ascii="Times New Roman" w:eastAsia="黑体" w:hAnsi="Times New Roman" w:cs="黑体" w:hint="eastAsia"/>
          <w:sz w:val="32"/>
          <w:szCs w:val="32"/>
        </w:rPr>
        <w:t>第二十七条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老城区内的店铺招牌、门面装修、照明灯具等应当与老城区风貌、氛围相协调。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老城区保护区内门牌、街道名称、旅游标志、保护标志、店铺招牌等应当使用藏、汉两种文字。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4" w:name="第二十八条"/>
      <w:bookmarkEnd w:id="34"/>
      <w:r>
        <w:rPr>
          <w:rFonts w:ascii="Times New Roman" w:eastAsia="黑体" w:hAnsi="Times New Roman" w:cs="黑体" w:hint="eastAsia"/>
          <w:sz w:val="32"/>
          <w:szCs w:val="32"/>
        </w:rPr>
        <w:t>第二十八条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对老城区内的传统民居不得有下列行为：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（一）私自拆改、架设电线；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（二）在公共用地或房顶上搭建建（构）筑物；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（三）在外观墙壁、梁柱、门窗上涂写、刻画、张贴、悬挂物品；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（四）其他破坏传统民居的行为。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老城区内传统民居所有权人利用传统民居进行经营活动的，应当向老城区保护机构备案。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5" w:name="第二十九条"/>
      <w:bookmarkEnd w:id="35"/>
      <w:r>
        <w:rPr>
          <w:rFonts w:ascii="Times New Roman" w:eastAsia="黑体" w:hAnsi="Times New Roman" w:cs="黑体" w:hint="eastAsia"/>
          <w:sz w:val="32"/>
          <w:szCs w:val="32"/>
        </w:rPr>
        <w:t>第二十九条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在老城区公共场所举行的各类群众性活动，组织者在活动举行前应当征得老城区保护机构的同意。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6" w:name="第三十条"/>
      <w:bookmarkEnd w:id="36"/>
      <w:r>
        <w:rPr>
          <w:rFonts w:ascii="Times New Roman" w:eastAsia="黑体" w:hAnsi="Times New Roman" w:cs="黑体" w:hint="eastAsia"/>
          <w:sz w:val="32"/>
          <w:szCs w:val="32"/>
        </w:rPr>
        <w:t>第三十条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拉萨市人民政府应当有计划地将老城区内的单位向新城区分流。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jc w:val="center"/>
        <w:rPr>
          <w:rFonts w:ascii="Times New Roman" w:eastAsia="黑体" w:hAnsi="Times New Roman" w:cs="黑体"/>
          <w:szCs w:val="32"/>
        </w:rPr>
      </w:pPr>
      <w:bookmarkStart w:id="37" w:name="第五章 法律责任"/>
      <w:bookmarkEnd w:id="37"/>
      <w:r>
        <w:rPr>
          <w:rFonts w:ascii="Times New Roman" w:eastAsia="黑体" w:hAnsi="Times New Roman" w:cs="黑体" w:hint="eastAsia"/>
          <w:szCs w:val="32"/>
        </w:rPr>
        <w:t>第五章　法律责任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8" w:name="第三十一条"/>
      <w:bookmarkEnd w:id="38"/>
      <w:r>
        <w:rPr>
          <w:rFonts w:ascii="Times New Roman" w:eastAsia="黑体" w:hAnsi="Times New Roman" w:cs="黑体" w:hint="eastAsia"/>
          <w:sz w:val="32"/>
          <w:szCs w:val="32"/>
        </w:rPr>
        <w:t>第三十一条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违反本条例第十二条规定的，由老城区保护机构责令恢复原状，并处以5000元以上2万元以下的罚款。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9" w:name="第三十二条"/>
      <w:bookmarkEnd w:id="39"/>
      <w:r>
        <w:rPr>
          <w:rFonts w:ascii="Times New Roman" w:eastAsia="黑体" w:hAnsi="Times New Roman" w:cs="黑体" w:hint="eastAsia"/>
          <w:sz w:val="32"/>
          <w:szCs w:val="32"/>
        </w:rPr>
        <w:t>第三十二条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违反本条例第十四条第一款规定的，由老城区保护机构责令改正、恢复原状，并对个人处以500元以上1000元以下的罚款，对单位处以2000元以上1万元以下的罚款。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0" w:name="第三十三条"/>
      <w:bookmarkEnd w:id="40"/>
      <w:r>
        <w:rPr>
          <w:rFonts w:ascii="Times New Roman" w:eastAsia="黑体" w:hAnsi="Times New Roman" w:cs="黑体" w:hint="eastAsia"/>
          <w:sz w:val="32"/>
          <w:szCs w:val="32"/>
        </w:rPr>
        <w:t>第三十三条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违反本条例第十七条规定的，由老城区保护机构责令其恢复原状，并对个人处以500元以上1000元以下的罚款，对单位处以5000元以上2万元以下的罚款。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1" w:name="第三十四条"/>
      <w:bookmarkEnd w:id="41"/>
      <w:r>
        <w:rPr>
          <w:rFonts w:ascii="Times New Roman" w:eastAsia="黑体" w:hAnsi="Times New Roman" w:cs="黑体" w:hint="eastAsia"/>
          <w:sz w:val="32"/>
          <w:szCs w:val="32"/>
        </w:rPr>
        <w:t>第三十四条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违反本条例第十九条规定的，由老城区保护机构责令恢复原状，并处以2000元以上1万元以下的罚款。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2" w:name="第三十五条"/>
      <w:bookmarkEnd w:id="42"/>
      <w:r>
        <w:rPr>
          <w:rFonts w:ascii="Times New Roman" w:eastAsia="黑体" w:hAnsi="Times New Roman" w:cs="黑体" w:hint="eastAsia"/>
          <w:sz w:val="32"/>
          <w:szCs w:val="32"/>
        </w:rPr>
        <w:t>第三十五条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违反本条例第二十二条第（一）、（二）、（三）、（四）、（五）、（六）、（七）、（八）、（九）、（十一）项规定的，由老城区保护机构给予警告，责令改正，并处以50元以上200元以下的罚款。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违反本条例第二十二条第（十）项规定的，由消防部门依照相关法律法规，依法予以处罚。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3" w:name="第三十六条"/>
      <w:bookmarkEnd w:id="43"/>
      <w:r>
        <w:rPr>
          <w:rFonts w:ascii="Times New Roman" w:eastAsia="黑体" w:hAnsi="Times New Roman" w:cs="黑体" w:hint="eastAsia"/>
          <w:sz w:val="32"/>
          <w:szCs w:val="32"/>
        </w:rPr>
        <w:t>第三十六条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违反本条例第二十三条规定，情节轻微的，由老城区保护机构给予警告，情节严重的，由有关部门依法予以处罚。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4" w:name="第三十七条"/>
      <w:bookmarkEnd w:id="44"/>
      <w:r>
        <w:rPr>
          <w:rFonts w:ascii="Times New Roman" w:eastAsia="黑体" w:hAnsi="Times New Roman" w:cs="黑体" w:hint="eastAsia"/>
          <w:sz w:val="32"/>
          <w:szCs w:val="32"/>
        </w:rPr>
        <w:t>第三十七条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违反本条例第二十七条第一款规定的，由老城区保护机构责令改正。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5" w:name="第三十八条"/>
      <w:bookmarkEnd w:id="45"/>
      <w:r>
        <w:rPr>
          <w:rFonts w:ascii="Times New Roman" w:eastAsia="黑体" w:hAnsi="Times New Roman" w:cs="黑体" w:hint="eastAsia"/>
          <w:sz w:val="32"/>
          <w:szCs w:val="32"/>
        </w:rPr>
        <w:t>第三十八条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违反本条例第二十八条第一款规定的，由老城区保护机构责令其恢复原状，对个人可处以100元以上500元以下的罚款，对单位可处以500元以上2000元以下的罚款。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6" w:name="第三十九条"/>
      <w:bookmarkEnd w:id="46"/>
      <w:r>
        <w:rPr>
          <w:rFonts w:ascii="Times New Roman" w:eastAsia="黑体" w:hAnsi="Times New Roman" w:cs="黑体" w:hint="eastAsia"/>
          <w:sz w:val="32"/>
          <w:szCs w:val="32"/>
        </w:rPr>
        <w:t>第三十九条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违反文物保护法律法规的，由文物保护行政主管部门依法予以处罚。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7" w:name="第四十条"/>
      <w:bookmarkEnd w:id="47"/>
      <w:r>
        <w:rPr>
          <w:rFonts w:ascii="Times New Roman" w:eastAsia="黑体" w:hAnsi="Times New Roman" w:cs="黑体" w:hint="eastAsia"/>
          <w:sz w:val="32"/>
          <w:szCs w:val="32"/>
        </w:rPr>
        <w:t>第四十条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老城区保护机构工作人员在工作中玩忽职守、徇私舞弊、滥用职权的，依法给予行政处分；涉嫌犯罪的，移交司法机关处理。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jc w:val="center"/>
        <w:rPr>
          <w:rFonts w:ascii="Times New Roman" w:eastAsia="黑体" w:hAnsi="Times New Roman" w:cs="黑体"/>
          <w:szCs w:val="32"/>
        </w:rPr>
      </w:pPr>
      <w:bookmarkStart w:id="48" w:name="第六章 附则"/>
      <w:bookmarkEnd w:id="48"/>
      <w:r>
        <w:rPr>
          <w:rFonts w:ascii="Times New Roman" w:eastAsia="黑体" w:hAnsi="Times New Roman" w:cs="黑体" w:hint="eastAsia"/>
          <w:szCs w:val="32"/>
        </w:rPr>
        <w:t>第六章　附　　则</w:t>
      </w:r>
    </w:p>
    <w:p>
      <w:pPr>
        <w:rPr>
          <w:rFonts w:ascii="Times New Roman" w:eastAsia="宋体" w:hAnsi="Times New Roman" w:cs="宋体"/>
          <w:szCs w:val="32"/>
        </w:rPr>
      </w:pP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9" w:name="第四十一条"/>
      <w:bookmarkEnd w:id="49"/>
      <w:r>
        <w:rPr>
          <w:rFonts w:ascii="Times New Roman" w:eastAsia="黑体" w:hAnsi="Times New Roman" w:cs="黑体" w:hint="eastAsia"/>
          <w:sz w:val="32"/>
          <w:szCs w:val="32"/>
        </w:rPr>
        <w:t>第四十一条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本条例自2013年10月1日起施行。</w:t>
      </w:r>
    </w:p>
    <w:sectPr>
      <w:footerReference w:type="even" r:id="rId4"/>
      <w:footerReference w:type="default" r:id="rId5"/>
      <w:pgSz w:w="11906" w:h="16838"/>
      <w:pgMar w:top="2098" w:right="1474" w:bottom="1984" w:left="1588" w:header="851" w:footer="1474" w:gutter="0"/>
      <w:cols w:num="1"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C37B30">
    <w:pPr>
      <w:pStyle w:val="Foo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08FD9E">
    <w:pPr>
      <w:pStyle w:val="Footer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w:docVars>
    <w:docVar w:name="commondata" w:val="eyJoZGlkIjoiMTg2OWQ1NmU4NmVlMDEyOWJlNDZmYWZmNzYxYTM0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character" w:styleId="Hyperlink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Footer"/>
    <w:uiPriority w:val="99"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278</Characters>
  <Application>Microsoft Office Word</Application>
  <DocSecurity>0</DocSecurity>
  <Lines>87</Lines>
  <Paragraphs>24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陈亚磊</cp:lastModifiedBy>
  <cp:revision>14</cp:revision>
  <cp:lastPrinted>2024-07-19T01:09:00Z</cp:lastPrinted>
  <dcterms:created xsi:type="dcterms:W3CDTF">2017-11-15T02:33:00Z</dcterms:created>
  <dcterms:modified xsi:type="dcterms:W3CDTF">2024-11-13T08:22:55Z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2052-12.1.0.18608</vt:lpwstr>
  </property>
</Properties>
</file>