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8BDEB2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互联网平台企业涉税信息报送规定"/>
      <w:bookmarkEnd w:id="0"/>
      <w:r>
        <w:rPr>
          <w:rFonts w:hint="eastAsia" w:ascii="方正小标宋简体" w:hAnsi="方正小标宋简体" w:eastAsia="方正小标宋简体" w:cs="方正小标宋简体"/>
          <w:color w:val="333333"/>
          <w:sz w:val="44"/>
          <w:szCs w:val="44"/>
          <w:shd w:val="clear" w:color="auto" w:fill="FFFFFF"/>
        </w:rPr>
        <w:t>互联网平台企业涉税信息报送规定</w:t>
      </w:r>
    </w:p>
    <w:p w14:paraId="615982DD">
      <w:pPr>
        <w:rPr>
          <w:rFonts w:ascii="Times New Roman" w:hAnsi="Times New Roman" w:eastAsia="宋体" w:cs="宋体"/>
          <w:szCs w:val="32"/>
        </w:rPr>
      </w:pPr>
      <w:bookmarkStart w:id="15" w:name="_GoBack"/>
      <w:bookmarkEnd w:id="15"/>
    </w:p>
    <w:p w14:paraId="03D3F75D">
      <w:pPr>
        <w:ind w:firstLine="632" w:firstLineChars="200"/>
        <w:rPr>
          <w:rFonts w:ascii="Times New Roman" w:hAnsi="Times New Roman" w:cs="仿宋_GB2312"/>
          <w:sz w:val="32"/>
          <w:szCs w:val="32"/>
        </w:rPr>
      </w:pPr>
      <w:bookmarkStart w:id="1" w:name="第一条"/>
      <w:bookmarkEnd w:id="1"/>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互联网平台企业向税务机关报送平台内经营者和从业人员涉税信息，提升税收服务与管理效能，保护纳税人合法权益，营造公平统一的税收环境，促进平台经济规范健康发展，根据《中华人民共和国税收征收管理法》、《中华人民共和国电子商务法》，制定本规定。</w:t>
      </w:r>
    </w:p>
    <w:p w14:paraId="03732443">
      <w:pPr>
        <w:ind w:firstLine="632" w:firstLineChars="200"/>
        <w:rPr>
          <w:rFonts w:ascii="Times New Roman" w:hAnsi="Times New Roman" w:cs="仿宋_GB2312"/>
          <w:sz w:val="32"/>
          <w:szCs w:val="32"/>
        </w:rPr>
      </w:pPr>
      <w:bookmarkStart w:id="2" w:name="第二条"/>
      <w:bookmarkEnd w:id="2"/>
      <w:r>
        <w:rPr>
          <w:rFonts w:hint="eastAsia" w:ascii="Times New Roman" w:hAnsi="Times New Roman" w:eastAsia="黑体" w:cs="黑体"/>
          <w:sz w:val="32"/>
          <w:szCs w:val="32"/>
        </w:rPr>
        <w:t>第二条</w:t>
      </w:r>
      <w:r>
        <w:rPr>
          <w:rFonts w:hint="eastAsia" w:ascii="Times New Roman" w:hAnsi="Times New Roman" w:cs="仿宋_GB2312"/>
          <w:sz w:val="32"/>
          <w:szCs w:val="32"/>
        </w:rPr>
        <w:t>　互联网平台企业应当依照本规定向其主管税务机关报送平台内经营者和从业人员的身份信息、收入信息等涉税信息。</w:t>
      </w:r>
    </w:p>
    <w:p w14:paraId="32D73181">
      <w:pPr>
        <w:ind w:firstLine="632" w:firstLineChars="200"/>
        <w:rPr>
          <w:rFonts w:ascii="Times New Roman" w:hAnsi="Times New Roman" w:cs="仿宋_GB2312"/>
          <w:sz w:val="32"/>
          <w:szCs w:val="32"/>
        </w:rPr>
      </w:pPr>
      <w:r>
        <w:rPr>
          <w:rFonts w:hint="eastAsia" w:ascii="Times New Roman" w:hAnsi="Times New Roman" w:cs="仿宋_GB2312"/>
          <w:sz w:val="32"/>
          <w:szCs w:val="32"/>
        </w:rPr>
        <w:t>本规定所称互联网平台企业，是指《中华人民共和国电子商务法》规定的电子商务平台经营者以及其他为网络交易活动提供网络经营场所、交易撮合、信息发布等营利性服务的法人或者非法人组织；所称从业人员，是指通过互联网平台以个人名义提供营利性服务的自然人。</w:t>
      </w:r>
    </w:p>
    <w:p w14:paraId="42DCBFC7">
      <w:pPr>
        <w:ind w:firstLine="632" w:firstLineChars="200"/>
        <w:rPr>
          <w:rFonts w:ascii="Times New Roman" w:hAnsi="Times New Roman" w:cs="仿宋_GB2312"/>
          <w:sz w:val="32"/>
          <w:szCs w:val="32"/>
        </w:rPr>
      </w:pPr>
      <w:bookmarkStart w:id="3" w:name="第三条"/>
      <w:bookmarkEnd w:id="3"/>
      <w:r>
        <w:rPr>
          <w:rFonts w:hint="eastAsia" w:ascii="Times New Roman" w:hAnsi="Times New Roman" w:eastAsia="黑体" w:cs="黑体"/>
          <w:sz w:val="32"/>
          <w:szCs w:val="32"/>
        </w:rPr>
        <w:t>第三条</w:t>
      </w:r>
      <w:r>
        <w:rPr>
          <w:rFonts w:hint="eastAsia" w:ascii="Times New Roman" w:hAnsi="Times New Roman" w:cs="仿宋_GB2312"/>
          <w:sz w:val="32"/>
          <w:szCs w:val="32"/>
        </w:rPr>
        <w:t>　互联网平台企业应当自本规定施行之日起30日内或者自从事互联网经营业务之日起30日内向其主管税务机关报送平台域名、业务类型、相关运营主体的统一社会信用代码以及名称等信息。</w:t>
      </w:r>
    </w:p>
    <w:p w14:paraId="51377CCB">
      <w:pPr>
        <w:ind w:firstLine="632" w:firstLineChars="200"/>
        <w:rPr>
          <w:rFonts w:ascii="Times New Roman" w:hAnsi="Times New Roman" w:cs="仿宋_GB2312"/>
          <w:sz w:val="32"/>
          <w:szCs w:val="32"/>
        </w:rPr>
      </w:pPr>
      <w:bookmarkStart w:id="4" w:name="第四条"/>
      <w:bookmarkEnd w:id="4"/>
      <w:r>
        <w:rPr>
          <w:rFonts w:hint="eastAsia" w:ascii="Times New Roman" w:hAnsi="Times New Roman" w:eastAsia="黑体" w:cs="黑体"/>
          <w:sz w:val="32"/>
          <w:szCs w:val="32"/>
        </w:rPr>
        <w:t>第四条</w:t>
      </w:r>
      <w:r>
        <w:rPr>
          <w:rFonts w:hint="eastAsia" w:ascii="Times New Roman" w:hAnsi="Times New Roman" w:cs="仿宋_GB2312"/>
          <w:sz w:val="32"/>
          <w:szCs w:val="32"/>
        </w:rPr>
        <w:t>　互联网平台企业应当于季度终了的次月内，按照国务院税务主管部门规定的身份信息、收入信息的具体类别和内容，向其主管税务机关报送平台内经营者和从业人员的身份信息以及上季度收入信息。</w:t>
      </w:r>
    </w:p>
    <w:p w14:paraId="316263C7">
      <w:pPr>
        <w:ind w:firstLine="632" w:firstLineChars="200"/>
        <w:rPr>
          <w:rFonts w:ascii="Times New Roman" w:hAnsi="Times New Roman" w:cs="仿宋_GB2312"/>
          <w:sz w:val="32"/>
          <w:szCs w:val="32"/>
        </w:rPr>
      </w:pPr>
      <w:r>
        <w:rPr>
          <w:rFonts w:hint="eastAsia" w:ascii="Times New Roman" w:hAnsi="Times New Roman" w:cs="仿宋_GB2312"/>
          <w:sz w:val="32"/>
          <w:szCs w:val="32"/>
        </w:rPr>
        <w:t>在互联网平台内从事配送、运输、家政等便民劳务活动的从业人员，依法享受税收优惠或者不需要纳税的，互联网平台企业不需要报送其收入信息。互联网平台企业按照规定为平台内经营者和从业人员办理扣缴申报、代办申报等涉税事项时已填报的涉税信息，不需要重复报送。</w:t>
      </w:r>
    </w:p>
    <w:p w14:paraId="0B86EC41">
      <w:pPr>
        <w:ind w:firstLine="632" w:firstLineChars="200"/>
        <w:rPr>
          <w:rFonts w:ascii="Times New Roman" w:hAnsi="Times New Roman" w:cs="仿宋_GB2312"/>
          <w:sz w:val="32"/>
          <w:szCs w:val="32"/>
        </w:rPr>
      </w:pPr>
      <w:bookmarkStart w:id="5" w:name="第五条"/>
      <w:bookmarkEnd w:id="5"/>
      <w:r>
        <w:rPr>
          <w:rFonts w:hint="eastAsia" w:ascii="Times New Roman" w:hAnsi="Times New Roman" w:eastAsia="黑体" w:cs="黑体"/>
          <w:sz w:val="32"/>
          <w:szCs w:val="32"/>
        </w:rPr>
        <w:t>第五条</w:t>
      </w:r>
      <w:r>
        <w:rPr>
          <w:rFonts w:hint="eastAsia" w:ascii="Times New Roman" w:hAnsi="Times New Roman" w:cs="仿宋_GB2312"/>
          <w:sz w:val="32"/>
          <w:szCs w:val="32"/>
        </w:rPr>
        <w:t>　互联网平台企业应当按照国务院税务主管部门规定的涉税信息报送的数据口径和标准，通过网络等方式报送涉税信息。</w:t>
      </w:r>
    </w:p>
    <w:p w14:paraId="2B30BE05">
      <w:pPr>
        <w:ind w:firstLine="632" w:firstLineChars="200"/>
        <w:rPr>
          <w:rFonts w:ascii="Times New Roman" w:hAnsi="Times New Roman" w:cs="仿宋_GB2312"/>
          <w:sz w:val="32"/>
          <w:szCs w:val="32"/>
        </w:rPr>
      </w:pPr>
      <w:r>
        <w:rPr>
          <w:rFonts w:hint="eastAsia" w:ascii="Times New Roman" w:hAnsi="Times New Roman" w:cs="仿宋_GB2312"/>
          <w:sz w:val="32"/>
          <w:szCs w:val="32"/>
        </w:rPr>
        <w:t>税务机关应当提供安全可靠的涉税信息报送渠道，积极运用现代信息技术，提供直连报送、上传导入等接口服务，并做好政策解读以及问题解答等咨询服务。</w:t>
      </w:r>
    </w:p>
    <w:p w14:paraId="604BB60E">
      <w:pPr>
        <w:ind w:firstLine="632" w:firstLineChars="200"/>
        <w:rPr>
          <w:rFonts w:ascii="Times New Roman" w:hAnsi="Times New Roman" w:cs="仿宋_GB2312"/>
          <w:sz w:val="32"/>
          <w:szCs w:val="32"/>
        </w:rPr>
      </w:pPr>
      <w:bookmarkStart w:id="6" w:name="第六条"/>
      <w:bookmarkEnd w:id="6"/>
      <w:r>
        <w:rPr>
          <w:rFonts w:hint="eastAsia" w:ascii="Times New Roman" w:hAnsi="Times New Roman" w:eastAsia="黑体" w:cs="黑体"/>
          <w:sz w:val="32"/>
          <w:szCs w:val="32"/>
        </w:rPr>
        <w:t>第六条</w:t>
      </w:r>
      <w:r>
        <w:rPr>
          <w:rFonts w:hint="eastAsia" w:ascii="Times New Roman" w:hAnsi="Times New Roman" w:cs="仿宋_GB2312"/>
          <w:sz w:val="32"/>
          <w:szCs w:val="32"/>
        </w:rPr>
        <w:t>　互联网平台企业应当核验平台内经营者和从业人员涉税信息，对其真实性、准确性、完整性负责。税务机关可以根据税收监管需要，对互联网平台企业报送的涉税信息进行核查。互联网平台企业已对其报送的涉税信息尽到核验义务，因平台内经营者或者从业人员过错导致涉税信息不真实、不准确或者不完整的，不追究互联网平台企业责任。</w:t>
      </w:r>
    </w:p>
    <w:p w14:paraId="2E1618D4">
      <w:pPr>
        <w:ind w:firstLine="632" w:firstLineChars="200"/>
        <w:rPr>
          <w:rFonts w:ascii="Times New Roman" w:hAnsi="Times New Roman" w:cs="仿宋_GB2312"/>
          <w:sz w:val="32"/>
          <w:szCs w:val="32"/>
        </w:rPr>
      </w:pPr>
      <w:bookmarkStart w:id="7" w:name="第七条"/>
      <w:bookmarkEnd w:id="7"/>
      <w:r>
        <w:rPr>
          <w:rFonts w:hint="eastAsia" w:ascii="Times New Roman" w:hAnsi="Times New Roman" w:eastAsia="黑体" w:cs="黑体"/>
          <w:sz w:val="32"/>
          <w:szCs w:val="32"/>
        </w:rPr>
        <w:t>第七条</w:t>
      </w:r>
      <w:r>
        <w:rPr>
          <w:rFonts w:hint="eastAsia" w:ascii="Times New Roman" w:hAnsi="Times New Roman" w:cs="仿宋_GB2312"/>
          <w:sz w:val="32"/>
          <w:szCs w:val="32"/>
        </w:rPr>
        <w:t>　税务机关依法开展税务检查或者发现涉税风险时，可以要求互联网平台企业和相关方提供涉嫌违法的平台内经营者和从业人员的合同订单、交易明细、资金账户、物流等涉税信息，互联网平台企业和相关方应当按照税务机关要求的期限、方式和内容如实提供。</w:t>
      </w:r>
    </w:p>
    <w:p w14:paraId="68FF724D">
      <w:pPr>
        <w:ind w:firstLine="632" w:firstLineChars="200"/>
        <w:rPr>
          <w:rFonts w:ascii="Times New Roman" w:hAnsi="Times New Roman" w:cs="仿宋_GB2312"/>
          <w:sz w:val="32"/>
          <w:szCs w:val="32"/>
        </w:rPr>
      </w:pPr>
      <w:bookmarkStart w:id="8" w:name="第八条"/>
      <w:bookmarkEnd w:id="8"/>
      <w:r>
        <w:rPr>
          <w:rFonts w:hint="eastAsia" w:ascii="Times New Roman" w:hAnsi="Times New Roman" w:eastAsia="黑体" w:cs="黑体"/>
          <w:sz w:val="32"/>
          <w:szCs w:val="32"/>
        </w:rPr>
        <w:t>第八条</w:t>
      </w:r>
      <w:r>
        <w:rPr>
          <w:rFonts w:hint="eastAsia" w:ascii="Times New Roman" w:hAnsi="Times New Roman" w:cs="仿宋_GB2312"/>
          <w:sz w:val="32"/>
          <w:szCs w:val="32"/>
        </w:rPr>
        <w:t>　工业和信息化、人力资源社会保障、交通运输、市场监管、网信等部门应当与税务机关加强涉税信息共享。通过信息共享能够获取的涉税信息，税务机关不得要求互联网平台企业重复报送。</w:t>
      </w:r>
    </w:p>
    <w:p w14:paraId="6E384131">
      <w:pPr>
        <w:ind w:firstLine="632" w:firstLineChars="200"/>
        <w:rPr>
          <w:rFonts w:ascii="Times New Roman" w:hAnsi="Times New Roman" w:cs="仿宋_GB2312"/>
          <w:sz w:val="32"/>
          <w:szCs w:val="32"/>
        </w:rPr>
      </w:pPr>
      <w:bookmarkStart w:id="9" w:name="第九条"/>
      <w:bookmarkEnd w:id="9"/>
      <w:r>
        <w:rPr>
          <w:rFonts w:hint="eastAsia" w:ascii="Times New Roman" w:hAnsi="Times New Roman" w:eastAsia="黑体" w:cs="黑体"/>
          <w:sz w:val="32"/>
          <w:szCs w:val="32"/>
        </w:rPr>
        <w:t>第九条</w:t>
      </w:r>
      <w:r>
        <w:rPr>
          <w:rFonts w:hint="eastAsia" w:ascii="Times New Roman" w:hAnsi="Times New Roman" w:cs="仿宋_GB2312"/>
          <w:sz w:val="32"/>
          <w:szCs w:val="32"/>
        </w:rPr>
        <w:t>　互联网平台企业应当依照法律、行政法规和国家有关规定，规范保存平台内经营者和从业人员涉税信息。</w:t>
      </w:r>
    </w:p>
    <w:p w14:paraId="1EC18DBB">
      <w:pPr>
        <w:ind w:firstLine="632" w:firstLineChars="200"/>
        <w:rPr>
          <w:rFonts w:ascii="Times New Roman" w:hAnsi="Times New Roman" w:cs="仿宋_GB2312"/>
          <w:sz w:val="32"/>
          <w:szCs w:val="32"/>
        </w:rPr>
      </w:pPr>
      <w:r>
        <w:rPr>
          <w:rFonts w:hint="eastAsia" w:ascii="Times New Roman" w:hAnsi="Times New Roman" w:cs="仿宋_GB2312"/>
          <w:sz w:val="32"/>
          <w:szCs w:val="32"/>
        </w:rPr>
        <w:t>税务机关应当对获取的涉税信息依法保密，依照法律、行政法规和国家有关规定建立涉税信息安全管理制度，落实数据安全保护责任，保障涉税信息安全。</w:t>
      </w:r>
    </w:p>
    <w:p w14:paraId="0A8AD43F">
      <w:pPr>
        <w:ind w:firstLine="632" w:firstLineChars="200"/>
        <w:rPr>
          <w:rFonts w:ascii="Times New Roman" w:hAnsi="Times New Roman" w:cs="仿宋_GB2312"/>
          <w:sz w:val="32"/>
          <w:szCs w:val="32"/>
        </w:rPr>
      </w:pPr>
      <w:bookmarkStart w:id="10" w:name="第十条"/>
      <w:bookmarkEnd w:id="10"/>
      <w:r>
        <w:rPr>
          <w:rFonts w:hint="eastAsia" w:ascii="Times New Roman" w:hAnsi="Times New Roman" w:eastAsia="黑体" w:cs="黑体"/>
          <w:sz w:val="32"/>
          <w:szCs w:val="32"/>
        </w:rPr>
        <w:t>第十条</w:t>
      </w:r>
      <w:r>
        <w:rPr>
          <w:rFonts w:hint="eastAsia" w:ascii="Times New Roman" w:hAnsi="Times New Roman" w:cs="仿宋_GB2312"/>
          <w:sz w:val="32"/>
          <w:szCs w:val="32"/>
        </w:rPr>
        <w:t>　互联网平台企业有下列行为之一的，由税务机关责令限期改正；逾期不改正的，处2万元以上10万元以下的罚款；情节严重的，责令停业整顿，并处10万元以上50万元以下的罚款：</w:t>
      </w:r>
    </w:p>
    <w:p w14:paraId="1AB84DED">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（一）未按照规定的期限报送、提供涉税信息；</w:t>
      </w:r>
    </w:p>
    <w:p w14:paraId="10EED6AB">
      <w:pPr>
        <w:ind w:firstLine="632" w:firstLineChars="200"/>
        <w:rPr>
          <w:rFonts w:ascii="Times New Roman" w:hAnsi="Times New Roman" w:cs="仿宋_GB2312"/>
          <w:sz w:val="32"/>
          <w:szCs w:val="32"/>
        </w:rPr>
      </w:pPr>
      <w:r>
        <w:rPr>
          <w:rFonts w:hint="eastAsia" w:ascii="Times New Roman" w:hAnsi="Times New Roman" w:cs="仿宋_GB2312"/>
          <w:sz w:val="32"/>
          <w:szCs w:val="32"/>
        </w:rPr>
        <w:t>（二）瞒报、谎报、漏报涉税信息，或者因互联网平台企业原因导致涉税信息不真实、不准确、不完整；</w:t>
      </w:r>
    </w:p>
    <w:p w14:paraId="5ACE2423">
      <w:pPr>
        <w:ind w:firstLine="632" w:firstLineChars="200"/>
        <w:rPr>
          <w:rFonts w:ascii="Times New Roman" w:hAnsi="Times New Roman" w:cs="仿宋_GB2312"/>
          <w:sz w:val="32"/>
          <w:szCs w:val="32"/>
        </w:rPr>
      </w:pPr>
      <w:r>
        <w:rPr>
          <w:rFonts w:hint="eastAsia" w:ascii="Times New Roman" w:hAnsi="Times New Roman" w:cs="仿宋_GB2312"/>
          <w:sz w:val="32"/>
          <w:szCs w:val="32"/>
        </w:rPr>
        <w:t>（三）拒绝报送、提供涉税信息。</w:t>
      </w:r>
    </w:p>
    <w:p w14:paraId="12DC6F4C">
      <w:pPr>
        <w:ind w:firstLine="632" w:firstLineChars="200"/>
        <w:rPr>
          <w:rFonts w:ascii="Times New Roman" w:hAnsi="Times New Roman" w:cs="仿宋_GB2312"/>
          <w:sz w:val="32"/>
          <w:szCs w:val="32"/>
        </w:rPr>
      </w:pPr>
      <w:bookmarkStart w:id="11" w:name="第十一条"/>
      <w:bookmarkEnd w:id="11"/>
      <w:r>
        <w:rPr>
          <w:rFonts w:hint="eastAsia" w:ascii="Times New Roman" w:hAnsi="Times New Roman" w:eastAsia="黑体" w:cs="黑体"/>
          <w:sz w:val="32"/>
          <w:szCs w:val="32"/>
        </w:rPr>
        <w:t>第十一条</w:t>
      </w:r>
      <w:r>
        <w:rPr>
          <w:rFonts w:hint="eastAsia" w:ascii="Times New Roman" w:hAnsi="Times New Roman" w:cs="仿宋_GB2312"/>
          <w:sz w:val="32"/>
          <w:szCs w:val="32"/>
        </w:rPr>
        <w:t>　税务机关及其工作人员在互联网平台企业涉税信息报送管理工作中有违法行为的，依照有关法律、行政法规的规定追究法律责任。</w:t>
      </w:r>
    </w:p>
    <w:p w14:paraId="553AAF0D">
      <w:pPr>
        <w:ind w:firstLine="632" w:firstLineChars="200"/>
        <w:rPr>
          <w:rFonts w:ascii="Times New Roman" w:hAnsi="Times New Roman" w:cs="仿宋_GB2312"/>
          <w:sz w:val="32"/>
          <w:szCs w:val="32"/>
        </w:rPr>
      </w:pPr>
      <w:bookmarkStart w:id="12" w:name="第十二条"/>
      <w:bookmarkEnd w:id="12"/>
      <w:r>
        <w:rPr>
          <w:rFonts w:hint="eastAsia" w:ascii="Times New Roman" w:hAnsi="Times New Roman" w:eastAsia="黑体" w:cs="黑体"/>
          <w:sz w:val="32"/>
          <w:szCs w:val="32"/>
        </w:rPr>
        <w:t>第十二条</w:t>
      </w:r>
      <w:r>
        <w:rPr>
          <w:rFonts w:hint="eastAsia" w:ascii="Times New Roman" w:hAnsi="Times New Roman" w:cs="仿宋_GB2312"/>
          <w:sz w:val="32"/>
          <w:szCs w:val="32"/>
        </w:rPr>
        <w:t>　平台内经营者和从业人员在本规定施行前的涉税信息，互联网平台企业不需要报送。</w:t>
      </w:r>
    </w:p>
    <w:p w14:paraId="74919031">
      <w:pPr>
        <w:ind w:firstLine="632" w:firstLineChars="200"/>
        <w:rPr>
          <w:rFonts w:ascii="Times New Roman" w:hAnsi="Times New Roman" w:cs="仿宋_GB2312"/>
          <w:sz w:val="32"/>
          <w:szCs w:val="32"/>
        </w:rPr>
      </w:pPr>
      <w:r>
        <w:rPr>
          <w:rFonts w:hint="eastAsia" w:ascii="Times New Roman" w:hAnsi="Times New Roman" w:cs="仿宋_GB2312"/>
          <w:sz w:val="32"/>
          <w:szCs w:val="32"/>
        </w:rPr>
        <w:t>境外互联网平台企业在中华人民共和国境内提供营利性服务的，按照国务院税务主管部门的规定报送平台内经营者和从业人员涉税信息。</w:t>
      </w:r>
    </w:p>
    <w:p w14:paraId="327E681C">
      <w:pPr>
        <w:ind w:firstLine="632" w:firstLineChars="200"/>
        <w:rPr>
          <w:rFonts w:ascii="Times New Roman" w:hAnsi="Times New Roman" w:cs="仿宋_GB2312"/>
          <w:sz w:val="32"/>
          <w:szCs w:val="32"/>
        </w:rPr>
      </w:pPr>
      <w:bookmarkStart w:id="13" w:name="第十三条"/>
      <w:bookmarkEnd w:id="13"/>
      <w:r>
        <w:rPr>
          <w:rFonts w:hint="eastAsia" w:ascii="Times New Roman" w:hAnsi="Times New Roman" w:eastAsia="黑体" w:cs="黑体"/>
          <w:sz w:val="32"/>
          <w:szCs w:val="32"/>
        </w:rPr>
        <w:t>第十三条</w:t>
      </w:r>
      <w:r>
        <w:rPr>
          <w:rFonts w:hint="eastAsia" w:ascii="Times New Roman" w:hAnsi="Times New Roman" w:cs="仿宋_GB2312"/>
          <w:sz w:val="32"/>
          <w:szCs w:val="32"/>
        </w:rPr>
        <w:t>　国务院税务主管部门根据本规定制定实施办法。</w:t>
      </w:r>
    </w:p>
    <w:p w14:paraId="24D59885">
      <w:pPr>
        <w:ind w:firstLine="632" w:firstLineChars="200"/>
        <w:rPr>
          <w:rFonts w:ascii="Times New Roman" w:hAnsi="Times New Roman" w:cs="仿宋_GB2312"/>
          <w:sz w:val="32"/>
          <w:szCs w:val="32"/>
        </w:rPr>
      </w:pPr>
      <w:bookmarkStart w:id="14" w:name="第十四条"/>
      <w:bookmarkEnd w:id="14"/>
      <w:r>
        <w:rPr>
          <w:rFonts w:hint="eastAsia" w:ascii="Times New Roman" w:hAnsi="Times New Roman" w:eastAsia="黑体" w:cs="黑体"/>
          <w:sz w:val="32"/>
          <w:szCs w:val="32"/>
        </w:rPr>
        <w:t>第十四条</w:t>
      </w:r>
      <w:r>
        <w:rPr>
          <w:rFonts w:hint="eastAsia" w:ascii="Times New Roman" w:hAnsi="Times New Roman" w:cs="仿宋_GB2312"/>
          <w:sz w:val="32"/>
          <w:szCs w:val="32"/>
        </w:rPr>
        <w:t>　本规定自公布之日起施行。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1A5C8B"/>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1574</Words>
  <Characters>1579</Characters>
  <Lines>87</Lines>
  <Paragraphs>24</Paragraphs>
  <TotalTime>28</TotalTime>
  <ScaleCrop>false</ScaleCrop>
  <LinksUpToDate>false</LinksUpToDate>
  <CharactersWithSpaces>1593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2025-06-25T07:57:56Z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053A392CE8CD47139062B41C45CAD18C_13</vt:lpwstr>
  </property>
  <property fmtid="{D5CDD505-2E9C-101B-9397-08002B2CF9AE}" pid="3" name="KSOProductBuildVer">
    <vt:lpwstr>2052-12.1.0.21541</vt:lpwstr>
  </property>
</Properties>
</file>