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F7ED20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日喀则市城市管理条例"/>
      <w:bookmarkEnd w:id="0"/>
      <w:r>
        <w:rPr>
          <w:rFonts w:hint="eastAsia" w:ascii="方正小标宋简体" w:hAnsi="方正小标宋简体" w:eastAsia="方正小标宋简体" w:cs="方正小标宋简体"/>
          <w:color w:val="333333"/>
          <w:sz w:val="44"/>
          <w:szCs w:val="44"/>
          <w:shd w:val="clear" w:color="auto" w:fill="FFFFFF"/>
        </w:rPr>
        <w:t>日喀则市城市管理条例</w:t>
      </w:r>
    </w:p>
    <w:p w14:paraId="7E1545F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（2020年10月28日日喀则市第一届人民代表大会常务委员会第四十七次会议通过　2020年11月27日西藏自治区第十一届人民代表大会常务委员会第二十三次会议批准　2025年5月6日日喀则市第二届人民代表大会常务委员会第三十七次会议修订　2025年5月27日西藏自治区第十二届人民代表大会常务委员会第十七次会议批准）</w:t>
      </w:r>
    </w:p>
    <w:p w14:paraId="03C7C923">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3213D4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城市管理事项</w:t>
      </w:r>
    </w:p>
    <w:p w14:paraId="3816135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城市市政公用设施管理</w:t>
      </w:r>
    </w:p>
    <w:p w14:paraId="1AE5907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城市市容和环境卫生管理</w:t>
      </w:r>
    </w:p>
    <w:p w14:paraId="5EF0098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城市绿化管理</w:t>
      </w:r>
    </w:p>
    <w:p w14:paraId="21B4F0B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75" w:name="_GoBack"/>
      <w:bookmarkEnd w:id="75"/>
      <w:r>
        <w:rPr>
          <w:rFonts w:ascii="Times New Roman" w:hAnsi="Times New Roman" w:eastAsia="楷体_GB2312" w:cs="楷体_GB2312"/>
          <w:sz w:val="32"/>
        </w:rPr>
        <w:t>第四节　城市生活垃圾及其他废物管理</w:t>
      </w:r>
    </w:p>
    <w:p w14:paraId="4E973E4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执法与监督</w:t>
      </w:r>
    </w:p>
    <w:p w14:paraId="13F78FB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法律责任</w:t>
      </w:r>
    </w:p>
    <w:p w14:paraId="119825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1D8B5515">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3BB895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为了进一步加强城市管理，提高公共服务水平，创造干净、整洁、有序、安全的城市环境，根据有关法律法规，结合本市实际，制定本条例。</w:t>
      </w:r>
    </w:p>
    <w:p w14:paraId="3BA611DD">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市、县城市建成区内的管理活动适用本条例。</w:t>
      </w:r>
    </w:p>
    <w:p w14:paraId="4D8E23E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城市管理应当坚持以铸牢中华民族共同体意识、推进中华民族共同体建设为主线，坚持以人民为中心，遵循依法治理、源头治理、权责一致、协调创新、公众参与的原则。</w:t>
      </w:r>
    </w:p>
    <w:p w14:paraId="31AACFD0">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应当加强对城市管理工作的领导，将城市管理工作纳入国民经济和社会发展规划，明确城市管理职责分工，建立统筹协调、信息互通、资源共享、考核评价、经费保障、应急处置等机制，研究解决城市管理中的重大问题。</w:t>
      </w:r>
    </w:p>
    <w:p w14:paraId="4AD7E903">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市、县（区）人民政府应当将城市管理工作所需经费列入本级财政预算，并与城市发展速度和规模相适应。</w:t>
      </w:r>
    </w:p>
    <w:p w14:paraId="13CBED16">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城市管理主管部门负责本行政区域内的城市管理工作，依法履行城市市政公用设施、市容市貌、环境卫生、城市绿化管理等职责，行使城市管理综合行政执法权。</w:t>
      </w:r>
    </w:p>
    <w:p w14:paraId="0005C621">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发展改革、公安、民政、自然资源、生态环境、住房城乡建设、交通运输、水利、商务、文化旅游、应急管理、市场监管、消防救援等部门，应当按照各自职责做好城市管理相关工作。</w:t>
      </w:r>
    </w:p>
    <w:p w14:paraId="6EF4A3A5">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县（区）人民政府所在地的乡（镇）人民政府、街道办事处应当加强网格化管理，组织实施市容和环境卫生责任区制度，指导村（居）民委员会协助做好城市管理工作。</w:t>
      </w:r>
    </w:p>
    <w:p w14:paraId="5F887EDF">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村（居）民委员会协助有关部门、乡（镇）人民政府、街道办事处做好城市管理工作，将城市管理工作纳入村规民约（居民公约），改善人居环境。</w:t>
      </w:r>
    </w:p>
    <w:p w14:paraId="4B869419">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任何单位和个人都应当爱护公共设施，保护公共环境，维护公共秩序。</w:t>
      </w:r>
    </w:p>
    <w:p w14:paraId="20DA9D1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鼓励公众依法参与城市管理志愿服务，促进城市管理志愿服务事业的发展。</w:t>
      </w:r>
    </w:p>
    <w:p w14:paraId="319E3E1A">
      <w:pPr>
        <w:rPr>
          <w:rFonts w:ascii="Times New Roman" w:hAnsi="Times New Roman" w:eastAsia="宋体" w:cs="宋体"/>
          <w:szCs w:val="32"/>
        </w:rPr>
      </w:pPr>
    </w:p>
    <w:p w14:paraId="63BDC4AD">
      <w:pPr>
        <w:jc w:val="center"/>
        <w:rPr>
          <w:rFonts w:ascii="Times New Roman" w:hAnsi="Times New Roman" w:eastAsia="黑体" w:cs="黑体"/>
          <w:szCs w:val="32"/>
        </w:rPr>
      </w:pPr>
      <w:bookmarkStart w:id="11" w:name="第二章 城市管理事项"/>
      <w:bookmarkEnd w:id="11"/>
      <w:r>
        <w:rPr>
          <w:rFonts w:hint="eastAsia" w:ascii="Times New Roman" w:hAnsi="Times New Roman" w:eastAsia="黑体" w:cs="黑体"/>
          <w:szCs w:val="32"/>
        </w:rPr>
        <w:t>第二章　城市管理事项</w:t>
      </w:r>
    </w:p>
    <w:p w14:paraId="33901B3D">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2" w:name="第一节 城市市政公用设施管理"/>
      <w:bookmarkEnd w:id="12"/>
      <w:r>
        <w:rPr>
          <w:rFonts w:hint="eastAsia" w:ascii="Times New Roman" w:hAnsi="Times New Roman" w:eastAsia="宋体" w:cs="宋体"/>
          <w:sz w:val="32"/>
          <w:szCs w:val="32"/>
          <w:lang w:val="en-US"/>
        </w:rPr>
        <w:t>第一节　城市市政公用设施管理</w:t>
      </w:r>
    </w:p>
    <w:p w14:paraId="699568FE">
      <w:pPr>
        <w:rPr>
          <w:rFonts w:ascii="Times New Roman" w:hAnsi="Times New Roman" w:eastAsia="宋体" w:cs="宋体"/>
          <w:szCs w:val="32"/>
        </w:rPr>
      </w:pPr>
    </w:p>
    <w:p w14:paraId="4B0A96B7">
      <w:pPr>
        <w:ind w:firstLine="632" w:firstLineChars="200"/>
        <w:rPr>
          <w:rFonts w:ascii="Times New Roman" w:hAnsi="Times New Roman" w:cs="仿宋_GB2312"/>
          <w:sz w:val="32"/>
          <w:szCs w:val="32"/>
        </w:rPr>
      </w:pPr>
      <w:bookmarkStart w:id="13" w:name="第八条"/>
      <w:bookmarkEnd w:id="13"/>
      <w:r>
        <w:rPr>
          <w:rFonts w:hint="eastAsia" w:ascii="Times New Roman" w:hAnsi="Times New Roman" w:eastAsia="黑体" w:cs="黑体"/>
          <w:sz w:val="32"/>
          <w:szCs w:val="32"/>
        </w:rPr>
        <w:t>第八条</w:t>
      </w:r>
      <w:r>
        <w:rPr>
          <w:rFonts w:hint="eastAsia" w:ascii="Times New Roman" w:hAnsi="Times New Roman" w:cs="仿宋_GB2312"/>
          <w:sz w:val="32"/>
          <w:szCs w:val="32"/>
        </w:rPr>
        <w:t>　市政公用设施应当按照城市规划要求建设，与主体工程同步设计、同步施工、同步验收、同步交付使用。</w:t>
      </w:r>
    </w:p>
    <w:p w14:paraId="75B406D1">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市政公用设施验收合格后，应当及时移交城市管理主管部门或者相关职能部门管理维护，确保设施完好、安全。</w:t>
      </w:r>
    </w:p>
    <w:p w14:paraId="512932C5">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任何单位和个人都应当保护市政公用设施，不得侵占、拆毁、损坏、挪动市政公用设施。</w:t>
      </w:r>
    </w:p>
    <w:p w14:paraId="72CD0F53">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供水、供电、供气、邮政、通信、广播电视和公共交通等公共服务单位以及充电设施经营单位，应当确保各项设施完好和正常运行，符合城市管理要求。</w:t>
      </w:r>
    </w:p>
    <w:p w14:paraId="1F034352">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城市道路及其附属设施应当符合下列规定：</w:t>
      </w:r>
    </w:p>
    <w:p w14:paraId="57A8AB0A">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（一）保持城市道路路面和人行道平整，保持道缘石、无障碍设施完好；</w:t>
      </w:r>
    </w:p>
    <w:p w14:paraId="192FAE7B">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（二）保持桥梁、街道、人行道、人行天桥、人行地下通道畅通、整洁、完好；</w:t>
      </w:r>
    </w:p>
    <w:p w14:paraId="1C319EEB">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（三）保持城市道路和桥梁上设置的隔离墩、隔音板、防护栏、防护墙、给排水、井盖等设施整洁、完好。</w:t>
      </w:r>
    </w:p>
    <w:p w14:paraId="540643A4">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城市新建、改建、扩建的公共建筑、商业街区、居住区、大（中）型建筑等，应当配建、增建停车场。</w:t>
      </w:r>
    </w:p>
    <w:p w14:paraId="2EC7A87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鼓励社会资本投资建设停车场，鼓励有条件的单位对外开放停车场所。</w:t>
      </w:r>
    </w:p>
    <w:p w14:paraId="311AD991">
      <w:pPr>
        <w:ind w:firstLine="632" w:firstLineChars="200"/>
        <w:rPr>
          <w:rFonts w:ascii="Times New Roman" w:hAnsi="Times New Roman" w:cs="仿宋_GB2312"/>
          <w:sz w:val="32"/>
          <w:szCs w:val="32"/>
        </w:rPr>
      </w:pPr>
      <w:r>
        <w:rPr>
          <w:rFonts w:hint="eastAsia" w:ascii="Times New Roman" w:hAnsi="Times New Roman" w:cs="仿宋_GB2312"/>
          <w:sz w:val="32"/>
          <w:szCs w:val="32"/>
        </w:rPr>
        <w:t>批准建成或者投入使用的停车场，不得擅自停止使用或者改作他用。</w:t>
      </w:r>
    </w:p>
    <w:p w14:paraId="4E8E15A9">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禁止擅自在城市道路施划停车泊位。</w:t>
      </w:r>
    </w:p>
    <w:p w14:paraId="137EB242">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城市道路范围内，在不影响行人、车辆通行的情况下，城市管理主管部门会同公安交通管理部门依法施划停车泊位。</w:t>
      </w:r>
    </w:p>
    <w:p w14:paraId="334E7D06">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机动车应当在规定地点停放。机动车在道路上临时停车的，不得妨碍其他车辆和行人通行。</w:t>
      </w:r>
    </w:p>
    <w:p w14:paraId="395DEB86">
      <w:pPr>
        <w:ind w:firstLine="632" w:firstLineChars="200"/>
        <w:rPr>
          <w:rFonts w:ascii="Times New Roman" w:hAnsi="Times New Roman" w:cs="仿宋_GB2312"/>
          <w:sz w:val="32"/>
          <w:szCs w:val="32"/>
        </w:rPr>
      </w:pPr>
      <w:r>
        <w:rPr>
          <w:rFonts w:hint="eastAsia" w:ascii="Times New Roman" w:hAnsi="Times New Roman" w:cs="仿宋_GB2312"/>
          <w:sz w:val="32"/>
          <w:szCs w:val="32"/>
        </w:rPr>
        <w:t>非机动车应当在规定地点停放。未设停放地点的，非机动车停放不得妨碍其他车辆和行人通行。</w:t>
      </w:r>
    </w:p>
    <w:p w14:paraId="4A478833">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建设生活垃圾处理设施、场所，应当符合国家规定的环境保护和环境卫生标准，由生态环境、住房城乡建设主管部门按照规划统一组织实施。</w:t>
      </w:r>
    </w:p>
    <w:p w14:paraId="73984F96">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新建、改建、扩建住宅区、商业区、工业园区以及其他公共场所，开发建设单位应当按照规划要求和设置标准配套建设密闭式垃圾收集设施和其他环境卫生设施，所需资金纳入建设工程概算。</w:t>
      </w:r>
    </w:p>
    <w:p w14:paraId="7252325D">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新建、改建、扩建公共厕所，应当符合环境卫生设施建设定额指标的规定和公共厕所建设标准。现有公共厕所不符合建设标准的，所在地人民政府应当制定改造方案。</w:t>
      </w:r>
    </w:p>
    <w:p w14:paraId="5DAA90FF">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城市管理主管部门应当确定公共厕所维护管理责任人，对公共厕所进行维护和管理。</w:t>
      </w:r>
    </w:p>
    <w:p w14:paraId="27AE2B5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鼓励商场、饭店、旅馆、体育场（馆）、停车场等公共建筑和公共场所的附属公共厕所免费对外开放。</w:t>
      </w:r>
    </w:p>
    <w:p w14:paraId="15230A78">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公共排水设施应当符合下列要求：</w:t>
      </w:r>
    </w:p>
    <w:p w14:paraId="7A440E1C">
      <w:pPr>
        <w:ind w:firstLine="632" w:firstLineChars="200"/>
        <w:rPr>
          <w:rFonts w:ascii="Times New Roman" w:hAnsi="Times New Roman" w:cs="仿宋_GB2312"/>
          <w:sz w:val="32"/>
          <w:szCs w:val="32"/>
        </w:rPr>
      </w:pPr>
      <w:r>
        <w:rPr>
          <w:rFonts w:hint="eastAsia" w:ascii="Times New Roman" w:hAnsi="Times New Roman" w:cs="仿宋_GB2312"/>
          <w:sz w:val="32"/>
          <w:szCs w:val="32"/>
        </w:rPr>
        <w:t>（一）井（沟）盖规范、完好；</w:t>
      </w:r>
    </w:p>
    <w:p w14:paraId="41623740">
      <w:pPr>
        <w:ind w:firstLine="632" w:firstLineChars="200"/>
        <w:rPr>
          <w:rFonts w:ascii="Times New Roman" w:hAnsi="Times New Roman" w:cs="仿宋_GB2312"/>
          <w:sz w:val="32"/>
          <w:szCs w:val="32"/>
        </w:rPr>
      </w:pPr>
      <w:r>
        <w:rPr>
          <w:rFonts w:hint="eastAsia" w:ascii="Times New Roman" w:hAnsi="Times New Roman" w:cs="仿宋_GB2312"/>
          <w:sz w:val="32"/>
          <w:szCs w:val="32"/>
        </w:rPr>
        <w:t>（二）泵站完好，运行正常，定期维护，及时修复；</w:t>
      </w:r>
    </w:p>
    <w:p w14:paraId="0F17FEAE">
      <w:pPr>
        <w:ind w:firstLine="632" w:firstLineChars="200"/>
        <w:rPr>
          <w:rFonts w:ascii="Times New Roman" w:hAnsi="Times New Roman" w:cs="仿宋_GB2312"/>
          <w:sz w:val="32"/>
          <w:szCs w:val="32"/>
        </w:rPr>
      </w:pPr>
      <w:r>
        <w:rPr>
          <w:rFonts w:hint="eastAsia" w:ascii="Times New Roman" w:hAnsi="Times New Roman" w:cs="仿宋_GB2312"/>
          <w:sz w:val="32"/>
          <w:szCs w:val="32"/>
        </w:rPr>
        <w:t>（三）管网完整，污水、雨后积水排放通畅。</w:t>
      </w:r>
    </w:p>
    <w:p w14:paraId="4420347D">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城市照明规划区域内的建筑物、构筑物、道路、广场、绿地等，应当按照规划要求建设城市照明设施。</w:t>
      </w:r>
    </w:p>
    <w:p w14:paraId="18C61938">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城市照明管理单位应当加强照明设施的管理维护，城市照明设施损坏、断亮的，应当及时维修或者更换，做到整洁美观、使用安全。</w:t>
      </w:r>
    </w:p>
    <w:p w14:paraId="42B33660">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城市照明管理单位应当按照规定开闭城市照明设施。</w:t>
      </w:r>
    </w:p>
    <w:p w14:paraId="0FA1ECCE">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任何单位和个人不得对城市照明设施实施下列行为：</w:t>
      </w:r>
    </w:p>
    <w:p w14:paraId="20B7C3E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（一）在城市照明设施安全距离内，擅自植树、挖坑取土或者设置其他物体，倾倒含酸、碱、盐等腐蚀物或者具有腐蚀性的废渣、废液；</w:t>
      </w:r>
    </w:p>
    <w:p w14:paraId="7D7DAF55">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（二）擅自在城市照明设施上架设线缆、安置其它设施或者接用电源；</w:t>
      </w:r>
    </w:p>
    <w:p w14:paraId="7E84D235">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（三）其他可能影响城市照明设施正常运行的行为。</w:t>
      </w:r>
    </w:p>
    <w:p w14:paraId="64F3934B">
      <w:pPr>
        <w:rPr>
          <w:rFonts w:ascii="Times New Roman" w:hAnsi="Times New Roman" w:eastAsia="宋体" w:cs="宋体"/>
          <w:szCs w:val="32"/>
        </w:rPr>
      </w:pPr>
    </w:p>
    <w:p w14:paraId="2ED9C4C8">
      <w:pPr>
        <w:jc w:val="center"/>
        <w:rPr>
          <w:rFonts w:ascii="Times New Roman" w:hAnsi="Times New Roman" w:eastAsia="宋体" w:cs="宋体"/>
          <w:szCs w:val="32"/>
        </w:rPr>
      </w:pPr>
      <w:bookmarkStart w:id="24" w:name="第二节 城市市容和环境卫生管理"/>
      <w:bookmarkEnd w:id="24"/>
      <w:r>
        <w:rPr>
          <w:rFonts w:hint="eastAsia" w:ascii="Times New Roman" w:hAnsi="Times New Roman" w:eastAsia="宋体" w:cs="宋体"/>
          <w:sz w:val="32"/>
          <w:szCs w:val="32"/>
          <w:lang w:val="en-US"/>
        </w:rPr>
        <w:t>第二节　城市市容和环境卫生管理</w:t>
      </w:r>
    </w:p>
    <w:p w14:paraId="3858133F">
      <w:pPr>
        <w:rPr>
          <w:rFonts w:ascii="Times New Roman" w:hAnsi="Times New Roman" w:eastAsia="宋体" w:cs="宋体"/>
          <w:szCs w:val="32"/>
        </w:rPr>
      </w:pPr>
    </w:p>
    <w:p w14:paraId="148E0B03">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城市市容和环境卫生责任区的责任人按照下列规定确定：</w:t>
      </w:r>
    </w:p>
    <w:p w14:paraId="3EF49CB1">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（一）城市广场、道路、桥梁、人行天桥、人行地下通道及其附属设施由管理单位和清扫作业单位负责；</w:t>
      </w:r>
    </w:p>
    <w:p w14:paraId="6E891E13">
      <w:pPr>
        <w:ind w:firstLine="632" w:firstLineChars="200"/>
        <w:rPr>
          <w:rFonts w:ascii="Times New Roman" w:hAnsi="Times New Roman" w:cs="仿宋_GB2312"/>
          <w:sz w:val="32"/>
          <w:szCs w:val="32"/>
        </w:rPr>
      </w:pPr>
      <w:r>
        <w:rPr>
          <w:rFonts w:hint="eastAsia" w:ascii="Times New Roman" w:hAnsi="Times New Roman" w:cs="仿宋_GB2312"/>
          <w:sz w:val="32"/>
          <w:szCs w:val="32"/>
        </w:rPr>
        <w:t>（二）城市绿地由养护单位负责；</w:t>
      </w:r>
    </w:p>
    <w:p w14:paraId="331048F3">
      <w:pPr>
        <w:ind w:firstLine="632" w:firstLineChars="200"/>
        <w:rPr>
          <w:rFonts w:ascii="Times New Roman" w:hAnsi="Times New Roman" w:cs="仿宋_GB2312"/>
          <w:sz w:val="32"/>
          <w:szCs w:val="32"/>
        </w:rPr>
      </w:pPr>
      <w:r>
        <w:rPr>
          <w:rFonts w:hint="eastAsia" w:ascii="Times New Roman" w:hAnsi="Times New Roman" w:cs="仿宋_GB2312"/>
          <w:sz w:val="32"/>
          <w:szCs w:val="32"/>
        </w:rPr>
        <w:t>（三）河道、水渠、水库以及附属范围，由管理单位负责；</w:t>
      </w:r>
    </w:p>
    <w:p w14:paraId="76A6D1B7">
      <w:pPr>
        <w:ind w:firstLine="632" w:firstLineChars="200"/>
        <w:rPr>
          <w:rFonts w:ascii="Times New Roman" w:hAnsi="Times New Roman" w:cs="仿宋_GB2312"/>
          <w:sz w:val="32"/>
          <w:szCs w:val="32"/>
        </w:rPr>
      </w:pPr>
      <w:r>
        <w:rPr>
          <w:rFonts w:hint="eastAsia" w:ascii="Times New Roman" w:hAnsi="Times New Roman" w:cs="仿宋_GB2312"/>
          <w:sz w:val="32"/>
          <w:szCs w:val="32"/>
        </w:rPr>
        <w:t>（四）机关、团体、院校和企事业单位的责任区域，由本单位负责；</w:t>
      </w:r>
    </w:p>
    <w:p w14:paraId="01A7859A">
      <w:pPr>
        <w:ind w:firstLine="632" w:firstLineChars="200"/>
        <w:rPr>
          <w:rFonts w:ascii="Times New Roman" w:hAnsi="Times New Roman" w:cs="仿宋_GB2312"/>
          <w:sz w:val="32"/>
          <w:szCs w:val="32"/>
        </w:rPr>
      </w:pPr>
      <w:r>
        <w:rPr>
          <w:rFonts w:hint="eastAsia" w:ascii="Times New Roman" w:hAnsi="Times New Roman" w:cs="仿宋_GB2312"/>
          <w:sz w:val="32"/>
          <w:szCs w:val="32"/>
        </w:rPr>
        <w:t>（五）旅游景区、公园由经营单位或者管理单位负责；</w:t>
      </w:r>
    </w:p>
    <w:p w14:paraId="080426B6">
      <w:pPr>
        <w:ind w:firstLine="632" w:firstLineChars="200"/>
        <w:rPr>
          <w:rFonts w:ascii="Times New Roman" w:hAnsi="Times New Roman" w:cs="仿宋_GB2312"/>
          <w:sz w:val="32"/>
          <w:szCs w:val="32"/>
        </w:rPr>
      </w:pPr>
      <w:r>
        <w:rPr>
          <w:rFonts w:hint="eastAsia" w:ascii="Times New Roman" w:hAnsi="Times New Roman" w:cs="仿宋_GB2312"/>
          <w:sz w:val="32"/>
          <w:szCs w:val="32"/>
        </w:rPr>
        <w:t>（六）居住区街巷由街道办事处或者乡（镇）人民政府负责；</w:t>
      </w:r>
    </w:p>
    <w:p w14:paraId="07BFC68A">
      <w:pPr>
        <w:ind w:firstLine="632" w:firstLineChars="200"/>
        <w:rPr>
          <w:rFonts w:ascii="Times New Roman" w:hAnsi="Times New Roman" w:cs="仿宋_GB2312"/>
          <w:sz w:val="32"/>
          <w:szCs w:val="32"/>
        </w:rPr>
      </w:pPr>
      <w:r>
        <w:rPr>
          <w:rFonts w:hint="eastAsia" w:ascii="Times New Roman" w:hAnsi="Times New Roman" w:cs="仿宋_GB2312"/>
          <w:sz w:val="32"/>
          <w:szCs w:val="32"/>
        </w:rPr>
        <w:t>（七）住宅小区实行物业管理的，由物业管理单位负责，没有物业管理单位的由产权人负责；</w:t>
      </w:r>
    </w:p>
    <w:p w14:paraId="65A47C29">
      <w:pPr>
        <w:ind w:firstLine="632" w:firstLineChars="200"/>
        <w:rPr>
          <w:rFonts w:ascii="Times New Roman" w:hAnsi="Times New Roman" w:cs="仿宋_GB2312"/>
          <w:sz w:val="32"/>
          <w:szCs w:val="32"/>
        </w:rPr>
      </w:pPr>
      <w:r>
        <w:rPr>
          <w:rFonts w:hint="eastAsia" w:ascii="Times New Roman" w:hAnsi="Times New Roman" w:cs="仿宋_GB2312"/>
          <w:sz w:val="32"/>
          <w:szCs w:val="32"/>
        </w:rPr>
        <w:t>（八）农贸市场、展览展销等场所，由管理单位负责；</w:t>
      </w:r>
    </w:p>
    <w:p w14:paraId="124B3902">
      <w:pPr>
        <w:ind w:firstLine="632" w:firstLineChars="200"/>
        <w:rPr>
          <w:rFonts w:ascii="Times New Roman" w:hAnsi="Times New Roman" w:cs="仿宋_GB2312"/>
          <w:sz w:val="32"/>
          <w:szCs w:val="32"/>
        </w:rPr>
      </w:pPr>
      <w:r>
        <w:rPr>
          <w:rFonts w:hint="eastAsia" w:ascii="Times New Roman" w:hAnsi="Times New Roman" w:cs="仿宋_GB2312"/>
          <w:sz w:val="32"/>
          <w:szCs w:val="32"/>
        </w:rPr>
        <w:t>（九）报刊亭、警务亭等由管理单位或者使用单位负责；</w:t>
      </w:r>
    </w:p>
    <w:p w14:paraId="7949A94A">
      <w:pPr>
        <w:ind w:firstLine="632" w:firstLineChars="200"/>
        <w:rPr>
          <w:rFonts w:ascii="Times New Roman" w:hAnsi="Times New Roman" w:cs="仿宋_GB2312"/>
          <w:sz w:val="32"/>
          <w:szCs w:val="32"/>
        </w:rPr>
      </w:pPr>
      <w:r>
        <w:rPr>
          <w:rFonts w:hint="eastAsia" w:ascii="Times New Roman" w:hAnsi="Times New Roman" w:cs="仿宋_GB2312"/>
          <w:sz w:val="32"/>
          <w:szCs w:val="32"/>
        </w:rPr>
        <w:t>（十）工程建设用地尚未施工的，由建设单位负责；</w:t>
      </w:r>
    </w:p>
    <w:p w14:paraId="40A1323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（十一）建设工地的施工现场由施工单位负责；</w:t>
      </w:r>
    </w:p>
    <w:p w14:paraId="00986B51">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（十二）责任人不明确的，由所在地城市管理主管部门确定。</w:t>
      </w:r>
    </w:p>
    <w:p w14:paraId="227C0839">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禁止下列影响城市容貌和环境卫生的行为：</w:t>
      </w:r>
    </w:p>
    <w:p w14:paraId="3236ED50">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（一）违反城市规划要求，擅自改变建筑物的高度、体量、色调和风格；</w:t>
      </w:r>
    </w:p>
    <w:p w14:paraId="2ECC5618">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（二）在城市建筑物、设施以及树木上涂写、刻画或者擅自在城市建筑物、设施上张挂、张贴宣传品；</w:t>
      </w:r>
    </w:p>
    <w:p w14:paraId="6B9D1DC8">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（三）在临街建筑物的阳台和窗外堆放、吊挂有碍市容的物品；</w:t>
      </w:r>
    </w:p>
    <w:p w14:paraId="4B9F801F">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（四）擅自在街道两侧和公共场地堆放物料，搭建非永久性建筑物、构筑物或者其他设施；</w:t>
      </w:r>
    </w:p>
    <w:p w14:paraId="4E880A08">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（五）在城市道路和公共场所晾晒物品；</w:t>
      </w:r>
    </w:p>
    <w:p w14:paraId="48021D80">
      <w:pPr>
        <w:ind w:firstLine="632" w:firstLineChars="200"/>
        <w:rPr>
          <w:rFonts w:ascii="Times New Roman" w:hAnsi="Times New Roman" w:cs="仿宋_GB2312"/>
          <w:sz w:val="32"/>
          <w:szCs w:val="32"/>
        </w:rPr>
      </w:pPr>
      <w:r>
        <w:rPr>
          <w:rFonts w:hint="eastAsia" w:ascii="Times New Roman" w:hAnsi="Times New Roman" w:cs="仿宋_GB2312"/>
          <w:sz w:val="32"/>
          <w:szCs w:val="32"/>
        </w:rPr>
        <w:t>（六）随地吐痰、便溺，乱倒污水，乱扔瓶罐、果皮、纸屑、烟蒂、塑料袋等废物；</w:t>
      </w:r>
    </w:p>
    <w:p w14:paraId="534CD726">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（七）其他影响城市容貌和环境卫生的行为。</w:t>
      </w:r>
    </w:p>
    <w:p w14:paraId="5E8D62AC">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禁止在市区内饲养鸡、鸭、鹅、兔、羊、猪、牛、马等家畜家禽；因教学、科研以及其他特殊需要饲养的除外。</w:t>
      </w:r>
    </w:p>
    <w:p w14:paraId="00CB9791">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城市管线管理，应当符合下列要求：</w:t>
      </w:r>
    </w:p>
    <w:p w14:paraId="57892FFC">
      <w:pPr>
        <w:ind w:firstLine="632" w:firstLineChars="200"/>
        <w:rPr>
          <w:rFonts w:ascii="Times New Roman" w:hAnsi="Times New Roman" w:cs="仿宋_GB2312"/>
          <w:sz w:val="32"/>
          <w:szCs w:val="32"/>
        </w:rPr>
      </w:pPr>
      <w:r>
        <w:rPr>
          <w:rFonts w:hint="eastAsia" w:ascii="Times New Roman" w:hAnsi="Times New Roman" w:cs="仿宋_GB2312"/>
          <w:sz w:val="32"/>
          <w:szCs w:val="32"/>
        </w:rPr>
        <w:t>（一）新建各类管线应入地敷设，按照设计施工规范不能入地或者现场不具备入地条件的，按照规划要求规范设置；</w:t>
      </w:r>
    </w:p>
    <w:p w14:paraId="46561180">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（二）对已有架空管线，权属单位应制定改造计划，逐步将架空管线、楼体附着管线改造入地或者采取隐蔽设置；</w:t>
      </w:r>
    </w:p>
    <w:p w14:paraId="0461D3F2">
      <w:pPr>
        <w:ind w:firstLine="632" w:firstLineChars="200"/>
        <w:rPr>
          <w:rFonts w:ascii="Times New Roman" w:hAnsi="Times New Roman" w:cs="仿宋_GB2312"/>
          <w:sz w:val="32"/>
          <w:szCs w:val="32"/>
        </w:rPr>
      </w:pPr>
      <w:r>
        <w:rPr>
          <w:rFonts w:hint="eastAsia" w:ascii="Times New Roman" w:hAnsi="Times New Roman" w:cs="仿宋_GB2312"/>
          <w:sz w:val="32"/>
          <w:szCs w:val="32"/>
        </w:rPr>
        <w:t>（三）管线出现脱落、断裂、倾斜等问题时，及时养护维修，废弃的及时撤除。</w:t>
      </w:r>
    </w:p>
    <w:p w14:paraId="09460E5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禁止擅自在城市道路、公共场所上空及住宅、楼宇之间设置架空管线。</w:t>
      </w:r>
    </w:p>
    <w:p w14:paraId="7503952A">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在主要道路及公共场所设置的雕塑、建筑小品等建筑景观，应当与周围景观相协调，并定期维护。</w:t>
      </w:r>
    </w:p>
    <w:p w14:paraId="735EB18D">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在城市中设置户外广告、标语牌、画廊、橱窗等，应当内容健康、外型美观，并定期维修、油饰或者拆除。</w:t>
      </w:r>
    </w:p>
    <w:p w14:paraId="002E1F4B">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大型户外广告的设置，应当征得城市管理主管部门同意后，按照有关规定办理审批手续。</w:t>
      </w:r>
    </w:p>
    <w:p w14:paraId="5146EFCF">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任何单位和个人不得擅自占用城市道路、人行天桥、地下通道、广场、公园及其他公共场所摆摊设点或者销售商品。</w:t>
      </w:r>
    </w:p>
    <w:p w14:paraId="0A1685E1">
      <w:pPr>
        <w:ind w:firstLine="632" w:firstLineChars="200"/>
        <w:rPr>
          <w:rFonts w:ascii="Times New Roman" w:hAnsi="Times New Roman" w:cs="仿宋_GB2312"/>
          <w:sz w:val="32"/>
          <w:szCs w:val="32"/>
        </w:rPr>
      </w:pPr>
      <w:r>
        <w:rPr>
          <w:rFonts w:hint="eastAsia" w:ascii="Times New Roman" w:hAnsi="Times New Roman" w:cs="仿宋_GB2312"/>
          <w:sz w:val="32"/>
          <w:szCs w:val="32"/>
        </w:rPr>
        <w:t>临街从事经营的商户不得占道经营。</w:t>
      </w:r>
    </w:p>
    <w:p w14:paraId="047A2B28">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任何单位和个人不得擅自占用城市道路、广场、绿地等公共场所举办商业展销、文艺演出、体育竞赛等活动；经批准临时占用城市道路、广场等公共场所举办活动的，应当按照批准的时间、区域范围、要求实施。活动结束后，应当及时清除所设置的临时设施，恢复原貌。</w:t>
      </w:r>
    </w:p>
    <w:p w14:paraId="1E2C58DE">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市、县（区）人民政府根据需要，可以划定早市、夜市、临时农副产品市场等临时设摊经营区。</w:t>
      </w:r>
    </w:p>
    <w:p w14:paraId="61BB600D">
      <w:pPr>
        <w:ind w:firstLine="632" w:firstLineChars="200"/>
        <w:rPr>
          <w:rFonts w:ascii="Times New Roman" w:hAnsi="Times New Roman" w:cs="仿宋_GB2312"/>
          <w:sz w:val="32"/>
          <w:szCs w:val="32"/>
        </w:rPr>
      </w:pPr>
      <w:r>
        <w:rPr>
          <w:rFonts w:hint="eastAsia" w:ascii="Times New Roman" w:hAnsi="Times New Roman" w:cs="仿宋_GB2312"/>
          <w:sz w:val="32"/>
          <w:szCs w:val="32"/>
        </w:rPr>
        <w:t>在临时设摊经营区域内从事经营活动，应当符合下列要求：</w:t>
      </w:r>
    </w:p>
    <w:p w14:paraId="69C1387C">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（一）按照规定的时间、地点、区域范围经营；</w:t>
      </w:r>
    </w:p>
    <w:p w14:paraId="5B081697">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（二）按照规定配备经营和卫生设施，保持整洁完好、摆放有序；</w:t>
      </w:r>
    </w:p>
    <w:p w14:paraId="76FFCF11">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（三）按照规定处理废物和污水，保持干净整洁；</w:t>
      </w:r>
    </w:p>
    <w:p w14:paraId="1501DE5D">
      <w:pPr>
        <w:ind w:firstLine="632" w:firstLineChars="200"/>
        <w:rPr>
          <w:rFonts w:ascii="Times New Roman" w:hAnsi="Times New Roman" w:cs="仿宋_GB2312"/>
          <w:sz w:val="32"/>
          <w:szCs w:val="32"/>
        </w:rPr>
      </w:pPr>
      <w:r>
        <w:rPr>
          <w:rFonts w:hint="eastAsia" w:ascii="Times New Roman" w:hAnsi="Times New Roman" w:cs="仿宋_GB2312"/>
          <w:sz w:val="32"/>
          <w:szCs w:val="32"/>
        </w:rPr>
        <w:t>（四）使用电、燃气等清洁能源；</w:t>
      </w:r>
    </w:p>
    <w:p w14:paraId="2F7FA6CE">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（五）法律法规规定的其他要求。</w:t>
      </w:r>
    </w:p>
    <w:p w14:paraId="26247BE7">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未经城市管理主管部门和公安交通管理部门批准不得挖掘城市道路。</w:t>
      </w:r>
    </w:p>
    <w:p w14:paraId="7C090A09">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经批准挖掘城市道路的，应当按照技术规范要求施工，并依法向城市管理主管部门缴纳城市道路挖掘修复费；竣工后应当及时清理现场，恢复原状，由城市管理主管部门验收。</w:t>
      </w:r>
    </w:p>
    <w:p w14:paraId="71AF81B7">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建设施工场地应当遵守相关作业规定，并符合下列要求：</w:t>
      </w:r>
    </w:p>
    <w:p w14:paraId="79C9C6E6">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（一）实行硬质围挡作业，并采取覆盖、分段作业、择时施工、洒水抑尘、冲洗地面等有效防尘降尘措施；</w:t>
      </w:r>
    </w:p>
    <w:p w14:paraId="0550C70A">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（二）对施工场地进出路口设置车辆冲洗台，冲洗出场车辆；</w:t>
      </w:r>
    </w:p>
    <w:p w14:paraId="250E4396">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（三）建筑土方、工程渣土、建筑垃圾应当及时清运；在场地内堆存的，应当采用密闭式防尘网遮盖；</w:t>
      </w:r>
    </w:p>
    <w:p w14:paraId="6788C601">
      <w:pPr>
        <w:ind w:firstLine="632" w:firstLineChars="200"/>
        <w:rPr>
          <w:rFonts w:ascii="Times New Roman" w:hAnsi="Times New Roman" w:cs="仿宋_GB2312"/>
          <w:sz w:val="32"/>
          <w:szCs w:val="32"/>
        </w:rPr>
      </w:pPr>
      <w:r>
        <w:rPr>
          <w:rFonts w:hint="eastAsia" w:ascii="Times New Roman" w:hAnsi="Times New Roman" w:cs="仿宋_GB2312"/>
          <w:sz w:val="32"/>
          <w:szCs w:val="32"/>
        </w:rPr>
        <w:t>（四）工程渣土、建筑垃圾应当进行资源化处理；</w:t>
      </w:r>
    </w:p>
    <w:p w14:paraId="74695474">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（五）采取有效措施，防止、减轻噪声污染；</w:t>
      </w:r>
    </w:p>
    <w:p w14:paraId="42E961B3">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（六）法律法规规定的其他要求。</w:t>
      </w:r>
    </w:p>
    <w:p w14:paraId="72D6EE9D">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运输煤炭、垃圾、渣土、砂石、土方、灰浆等散装、流体物料的车辆应当密闭或者采取其他措施防止物料遗撒造成扬尘污染，并按照规定路线行驶。</w:t>
      </w:r>
    </w:p>
    <w:p w14:paraId="3F667247">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维修、清理、疏通排水管道、沟渠，维修、更换路灯、电线杆等市政公用设施，城市绿化作业等产生的废物，应当按照规定及时清除。</w:t>
      </w:r>
    </w:p>
    <w:p w14:paraId="7499257D">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废旧物品经营场所应当采取围挡、遮盖等措施，保持场所整洁，不得污染周围环境。</w:t>
      </w:r>
    </w:p>
    <w:p w14:paraId="32DBFF61">
      <w:pPr>
        <w:rPr>
          <w:rFonts w:ascii="Times New Roman" w:hAnsi="Times New Roman" w:eastAsia="宋体" w:cs="宋体"/>
          <w:szCs w:val="32"/>
        </w:rPr>
      </w:pPr>
    </w:p>
    <w:p w14:paraId="62A18FC3">
      <w:pPr>
        <w:jc w:val="center"/>
        <w:rPr>
          <w:rFonts w:ascii="Times New Roman" w:hAnsi="Times New Roman" w:eastAsia="宋体" w:cs="宋体"/>
          <w:szCs w:val="32"/>
        </w:rPr>
      </w:pPr>
      <w:bookmarkStart w:id="39" w:name="第三节 城市绿化管理"/>
      <w:bookmarkEnd w:id="39"/>
      <w:r>
        <w:rPr>
          <w:rFonts w:hint="eastAsia" w:ascii="Times New Roman" w:hAnsi="Times New Roman" w:eastAsia="宋体" w:cs="宋体"/>
          <w:sz w:val="32"/>
          <w:szCs w:val="32"/>
          <w:lang w:val="en-US"/>
        </w:rPr>
        <w:t>第三节　城市绿化管理</w:t>
      </w:r>
    </w:p>
    <w:p w14:paraId="5ED79E5A">
      <w:pPr>
        <w:rPr>
          <w:rFonts w:ascii="Times New Roman" w:hAnsi="Times New Roman" w:eastAsia="宋体" w:cs="宋体"/>
          <w:szCs w:val="32"/>
        </w:rPr>
      </w:pPr>
    </w:p>
    <w:p w14:paraId="14901456">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市、县（区）人民政府应当加强城市公园、绿地建设，做好古树名木保护工作，发挥公园、绿地的景观、生态、游憩、文化、防灾等功能，保持公园、绿地整洁美观。</w:t>
      </w:r>
    </w:p>
    <w:p w14:paraId="0E806761">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城市绿化应当符合下列要求：</w:t>
      </w:r>
    </w:p>
    <w:p w14:paraId="35A57218">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（一）设计、建设、管理、养护符合相关规范；</w:t>
      </w:r>
    </w:p>
    <w:p w14:paraId="3CCD9DF0">
      <w:pPr>
        <w:ind w:firstLine="632" w:firstLineChars="200"/>
        <w:rPr>
          <w:rFonts w:ascii="Times New Roman" w:hAnsi="Times New Roman" w:cs="仿宋_GB2312"/>
          <w:sz w:val="32"/>
          <w:szCs w:val="32"/>
        </w:rPr>
      </w:pPr>
      <w:r>
        <w:rPr>
          <w:rFonts w:hint="eastAsia" w:ascii="Times New Roman" w:hAnsi="Times New Roman" w:cs="仿宋_GB2312"/>
          <w:sz w:val="32"/>
          <w:szCs w:val="32"/>
        </w:rPr>
        <w:t>（二）注重景观、生态、游憩、文化、防灾等功能，兼顾城市区域功能和生物多样性；</w:t>
      </w:r>
    </w:p>
    <w:p w14:paraId="72C08A72">
      <w:pPr>
        <w:ind w:firstLine="632" w:firstLineChars="200"/>
        <w:rPr>
          <w:rFonts w:ascii="Times New Roman" w:hAnsi="Times New Roman" w:cs="仿宋_GB2312"/>
          <w:sz w:val="32"/>
          <w:szCs w:val="32"/>
        </w:rPr>
      </w:pPr>
      <w:r>
        <w:rPr>
          <w:rFonts w:hint="eastAsia" w:ascii="Times New Roman" w:hAnsi="Times New Roman" w:cs="仿宋_GB2312"/>
          <w:sz w:val="32"/>
          <w:szCs w:val="32"/>
        </w:rPr>
        <w:t>（三）绿地、绿化隔离带布局合理，与周边环境相协调；</w:t>
      </w:r>
    </w:p>
    <w:p w14:paraId="4BD97A3E">
      <w:pPr>
        <w:ind w:firstLine="632" w:firstLineChars="200"/>
        <w:rPr>
          <w:rFonts w:ascii="Times New Roman" w:hAnsi="Times New Roman" w:cs="仿宋_GB2312"/>
          <w:sz w:val="32"/>
          <w:szCs w:val="32"/>
        </w:rPr>
      </w:pPr>
      <w:r>
        <w:rPr>
          <w:rFonts w:hint="eastAsia" w:ascii="Times New Roman" w:hAnsi="Times New Roman" w:cs="仿宋_GB2312"/>
          <w:sz w:val="32"/>
          <w:szCs w:val="32"/>
        </w:rPr>
        <w:t>（四）兼顾道路、管线安全使用和树木的正常生长，与地上地下的管线及其他设施保持国家标准规定的安全间距；</w:t>
      </w:r>
    </w:p>
    <w:p w14:paraId="09307104">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（五）法律法规规定的其他要求。</w:t>
      </w:r>
    </w:p>
    <w:p w14:paraId="218F53E7">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禁止下列破坏城市绿化的行为：</w:t>
      </w:r>
    </w:p>
    <w:p w14:paraId="58484F75">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（一）擅自占用城市绿化用地；</w:t>
      </w:r>
    </w:p>
    <w:p w14:paraId="797E841B">
      <w:pPr>
        <w:ind w:firstLine="632" w:firstLineChars="200"/>
        <w:rPr>
          <w:rFonts w:ascii="Times New Roman" w:hAnsi="Times New Roman" w:cs="仿宋_GB2312"/>
          <w:sz w:val="32"/>
          <w:szCs w:val="32"/>
        </w:rPr>
      </w:pPr>
      <w:r>
        <w:rPr>
          <w:rFonts w:hint="eastAsia" w:ascii="Times New Roman" w:hAnsi="Times New Roman" w:cs="仿宋_GB2312"/>
          <w:sz w:val="32"/>
          <w:szCs w:val="32"/>
        </w:rPr>
        <w:t>（二）损坏城市树木花草和绿化设施；</w:t>
      </w:r>
    </w:p>
    <w:p w14:paraId="26B6AF41">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（三）擅自砍伐城市树木；</w:t>
      </w:r>
    </w:p>
    <w:p w14:paraId="25BA2867">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（四）在绿地、风景林地内倾倒垃圾、化学物品以及液化气残渣；</w:t>
      </w:r>
    </w:p>
    <w:p w14:paraId="57EA9C07">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（五）其他破坏城市绿化的行为。</w:t>
      </w:r>
    </w:p>
    <w:p w14:paraId="7664B8D7">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城市管理主管部门应当及时清理城市行道树死株和危树危枝，补植缺株、空株，维护城市容貌，保障公众人身、财产安全。</w:t>
      </w:r>
    </w:p>
    <w:p w14:paraId="7CC9FBDC">
      <w:pPr>
        <w:rPr>
          <w:rFonts w:ascii="Times New Roman" w:hAnsi="Times New Roman" w:eastAsia="宋体" w:cs="宋体"/>
          <w:szCs w:val="32"/>
        </w:rPr>
      </w:pPr>
    </w:p>
    <w:p w14:paraId="43C27CED">
      <w:pPr>
        <w:jc w:val="center"/>
        <w:rPr>
          <w:rFonts w:ascii="Times New Roman" w:hAnsi="Times New Roman" w:eastAsia="宋体" w:cs="宋体"/>
          <w:szCs w:val="32"/>
        </w:rPr>
      </w:pPr>
      <w:bookmarkStart w:id="44" w:name="第四节 城市生活垃圾及其他废物管理"/>
      <w:bookmarkEnd w:id="44"/>
      <w:r>
        <w:rPr>
          <w:rFonts w:hint="eastAsia" w:ascii="Times New Roman" w:hAnsi="Times New Roman" w:eastAsia="宋体" w:cs="宋体"/>
          <w:sz w:val="32"/>
          <w:szCs w:val="32"/>
          <w:lang w:val="en-US"/>
        </w:rPr>
        <w:t>第四节　城市生活垃圾及其他废物管理</w:t>
      </w:r>
    </w:p>
    <w:p w14:paraId="0A57B270">
      <w:pPr>
        <w:rPr>
          <w:rFonts w:ascii="Times New Roman" w:hAnsi="Times New Roman" w:eastAsia="宋体" w:cs="宋体"/>
          <w:szCs w:val="32"/>
        </w:rPr>
      </w:pPr>
    </w:p>
    <w:p w14:paraId="468A1305">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市、县（区）人民政府应当建立生活垃圾分类制度，统筹垃圾处理及循环利用。</w:t>
      </w:r>
    </w:p>
    <w:p w14:paraId="01E47E11">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任何单位和个人都应当依法在指定的地点分类投放生活垃圾。禁止随意倾倒、抛撒、堆放或者焚烧生活垃圾。</w:t>
      </w:r>
    </w:p>
    <w:p w14:paraId="585F24AB">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道路以及公共场所的清扫作业单位应当按照作业规范和环境卫生标准的要求，定时清扫，及时保洁。</w:t>
      </w:r>
    </w:p>
    <w:p w14:paraId="61FE356B">
      <w:pPr>
        <w:ind w:firstLine="632" w:firstLineChars="200"/>
        <w:rPr>
          <w:rFonts w:ascii="Times New Roman" w:hAnsi="Times New Roman" w:cs="仿宋_GB2312"/>
          <w:sz w:val="32"/>
          <w:szCs w:val="32"/>
        </w:rPr>
      </w:pPr>
      <w:r>
        <w:rPr>
          <w:rFonts w:hint="eastAsia" w:ascii="Times New Roman" w:hAnsi="Times New Roman" w:cs="仿宋_GB2312"/>
          <w:sz w:val="32"/>
          <w:szCs w:val="32"/>
        </w:rPr>
        <w:t>清运单位应当做到日产日清，将垃圾密闭运输到指定的处置利用消纳场所。</w:t>
      </w:r>
    </w:p>
    <w:p w14:paraId="07959B86">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产生、收集厨余垃圾的单位和其他生产经营者，应当将厨余垃圾交由具备相应资质条件的单位进行无害化处理。</w:t>
      </w:r>
    </w:p>
    <w:p w14:paraId="5AB69D02">
      <w:pPr>
        <w:ind w:firstLine="632" w:firstLineChars="200"/>
        <w:rPr>
          <w:rFonts w:ascii="Times New Roman" w:hAnsi="Times New Roman" w:cs="仿宋_GB2312"/>
          <w:sz w:val="32"/>
          <w:szCs w:val="32"/>
        </w:rPr>
      </w:pPr>
      <w:r>
        <w:rPr>
          <w:rFonts w:hint="eastAsia" w:ascii="Times New Roman" w:hAnsi="Times New Roman" w:cs="仿宋_GB2312"/>
          <w:sz w:val="32"/>
          <w:szCs w:val="32"/>
        </w:rPr>
        <w:t>厨余垃圾不得排入排水管道、河渠、公共厕所，不得与其他垃圾混倒。</w:t>
      </w:r>
    </w:p>
    <w:p w14:paraId="6FA1E598">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产生生活垃圾的单位和个人应当缴纳生活垃圾处理费，具体标准由市、县（区）人民政府制定，并向社会公布。</w:t>
      </w:r>
    </w:p>
    <w:p w14:paraId="492A6A80">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医疗废物及其他易燃、易爆、剧毒、放射性等有毒、有害废物，应当按照有关法律法规的规定处理，不得混入生活垃圾收集站和垃圾消纳场所。</w:t>
      </w:r>
    </w:p>
    <w:p w14:paraId="15850B77">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任何单位和个人不得实施下列行为：</w:t>
      </w:r>
    </w:p>
    <w:p w14:paraId="28A295ED">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（一）在市、县（区）人民政府禁止的区域和时段内燃放烟花爆竹；</w:t>
      </w:r>
    </w:p>
    <w:p w14:paraId="77BE0285">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（二）在当地人民政府禁止的区域内露天烧烤食品或者为露天烧烤食品提供场地；</w:t>
      </w:r>
    </w:p>
    <w:p w14:paraId="14567D29">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城市建成区、人口集中区域和医院、学校、幼儿园、养老院等其他需要特殊保护的区域及其周边露天焚烧秸秆、落叶、枯草等产生烟尘污染的物质，焚烧垃圾、电子废物、油毡、废油渣、沥青、橡胶、塑料、皮革以及其他可能产生有毒有害烟尘和恶臭气体的物质。</w:t>
      </w:r>
    </w:p>
    <w:p w14:paraId="05192D2E">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宾馆、饭店、餐馆、食堂等排放油烟的餐饮服务业经营者应当安装油烟净化设施并保持正常使用，或者采取其他油烟净化措施，确保油烟达标排放。油烟排风管道设置应当符合相关行业标准，不得将油烟排入下水管网。</w:t>
      </w:r>
    </w:p>
    <w:p w14:paraId="228C1FA1">
      <w:pPr>
        <w:rPr>
          <w:rFonts w:ascii="Times New Roman" w:hAnsi="Times New Roman" w:eastAsia="宋体" w:cs="宋体"/>
          <w:szCs w:val="32"/>
        </w:rPr>
      </w:pPr>
    </w:p>
    <w:p w14:paraId="28ED96A8">
      <w:pPr>
        <w:jc w:val="center"/>
        <w:rPr>
          <w:rFonts w:ascii="Times New Roman" w:hAnsi="Times New Roman" w:eastAsia="黑体" w:cs="黑体"/>
          <w:szCs w:val="32"/>
        </w:rPr>
      </w:pPr>
      <w:bookmarkStart w:id="52" w:name="第三章 执法与监督"/>
      <w:bookmarkEnd w:id="52"/>
      <w:r>
        <w:rPr>
          <w:rFonts w:hint="eastAsia" w:ascii="Times New Roman" w:hAnsi="Times New Roman" w:eastAsia="黑体" w:cs="黑体"/>
          <w:szCs w:val="32"/>
        </w:rPr>
        <w:t>第三章　执法与监督</w:t>
      </w:r>
    </w:p>
    <w:p w14:paraId="23E593D3">
      <w:pPr>
        <w:rPr>
          <w:rFonts w:ascii="Times New Roman" w:hAnsi="Times New Roman" w:eastAsia="宋体" w:cs="宋体"/>
          <w:szCs w:val="32"/>
        </w:rPr>
      </w:pPr>
    </w:p>
    <w:p w14:paraId="3B0FD9E1">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城市管理主管部门应当落实行政执法责任制，坚持执法与疏导、管理与服务、处罚与教育相结合，严格规范公正文明执法。</w:t>
      </w:r>
    </w:p>
    <w:p w14:paraId="17087F86">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城市管理主管部门根据国家有关规定集中行使下列行政处罚权：</w:t>
      </w:r>
    </w:p>
    <w:p w14:paraId="60C90CCC">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（一）城市市政公用设施、市容市貌、环境卫生、城市绿化、城市生活垃圾、城市建筑垃圾法律法规规章规定的相关行政处罚权；</w:t>
      </w:r>
    </w:p>
    <w:p w14:paraId="7BFCCCDA">
      <w:pPr>
        <w:ind w:firstLine="632" w:firstLineChars="200"/>
        <w:rPr>
          <w:rFonts w:ascii="Times New Roman" w:hAnsi="Times New Roman" w:cs="仿宋_GB2312"/>
          <w:sz w:val="32"/>
          <w:szCs w:val="32"/>
        </w:rPr>
      </w:pPr>
      <w:r>
        <w:rPr>
          <w:rFonts w:hint="eastAsia" w:ascii="Times New Roman" w:hAnsi="Times New Roman" w:cs="仿宋_GB2312"/>
          <w:sz w:val="32"/>
          <w:szCs w:val="32"/>
        </w:rPr>
        <w:t>（二）社会生活噪声污染、建筑施工噪声污染、建筑施工扬尘污染、餐饮服务业油烟污染、露天烧烤污染、焚烧沥青塑料垃圾等烟尘和恶臭污染、露天焚烧秸秆落叶等烟尘污染等行为的行政处罚权；</w:t>
      </w:r>
    </w:p>
    <w:p w14:paraId="5682BD06">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（三）向城市河道、湖泊内倾倒废物和垃圾的行政处罚权；</w:t>
      </w:r>
    </w:p>
    <w:p w14:paraId="28C891A2">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（四）法律法规规章规定的其他行政处罚权。</w:t>
      </w:r>
    </w:p>
    <w:p w14:paraId="4EDFB976">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城市管理执法人员在执法过程中应当穿着统一的制式服装，佩戴统一的标志标识，出示执法证件，依照法定程序执法，不得有下列行为：</w:t>
      </w:r>
    </w:p>
    <w:p w14:paraId="607D8A39">
      <w:pPr>
        <w:ind w:firstLine="632" w:firstLineChars="200"/>
        <w:rPr>
          <w:rFonts w:ascii="Times New Roman" w:hAnsi="Times New Roman" w:cs="仿宋_GB2312"/>
          <w:sz w:val="32"/>
          <w:szCs w:val="32"/>
        </w:rPr>
      </w:pPr>
      <w:r>
        <w:rPr>
          <w:rFonts w:hint="eastAsia" w:ascii="Times New Roman" w:hAnsi="Times New Roman" w:cs="仿宋_GB2312"/>
          <w:sz w:val="32"/>
          <w:szCs w:val="32"/>
        </w:rPr>
        <w:t>（一）收缴罚没款物不出具专用票据；</w:t>
      </w:r>
    </w:p>
    <w:p w14:paraId="1E10C0B5">
      <w:pPr>
        <w:ind w:firstLine="632" w:firstLineChars="200"/>
        <w:rPr>
          <w:rFonts w:ascii="Times New Roman" w:hAnsi="Times New Roman" w:cs="仿宋_GB2312"/>
          <w:sz w:val="32"/>
          <w:szCs w:val="32"/>
        </w:rPr>
      </w:pPr>
      <w:r>
        <w:rPr>
          <w:rFonts w:hint="eastAsia" w:ascii="Times New Roman" w:hAnsi="Times New Roman" w:cs="仿宋_GB2312"/>
          <w:sz w:val="32"/>
          <w:szCs w:val="32"/>
        </w:rPr>
        <w:t>（二）故意损坏、侵占或者擅自处理当事人财物；</w:t>
      </w:r>
    </w:p>
    <w:p w14:paraId="15320B67">
      <w:pPr>
        <w:ind w:firstLine="632" w:firstLineChars="200"/>
        <w:rPr>
          <w:rFonts w:ascii="Times New Roman" w:hAnsi="Times New Roman" w:cs="仿宋_GB2312"/>
          <w:sz w:val="32"/>
          <w:szCs w:val="32"/>
        </w:rPr>
      </w:pPr>
      <w:r>
        <w:rPr>
          <w:rFonts w:hint="eastAsia" w:ascii="Times New Roman" w:hAnsi="Times New Roman" w:cs="仿宋_GB2312"/>
          <w:sz w:val="32"/>
          <w:szCs w:val="32"/>
        </w:rPr>
        <w:t>（三）辱骂、殴打当事人；</w:t>
      </w:r>
    </w:p>
    <w:p w14:paraId="0F29A915">
      <w:pPr>
        <w:ind w:firstLine="632" w:firstLineChars="200"/>
        <w:rPr>
          <w:rFonts w:ascii="Times New Roman" w:hAnsi="Times New Roman" w:cs="仿宋_GB2312"/>
          <w:sz w:val="32"/>
          <w:szCs w:val="32"/>
        </w:rPr>
      </w:pPr>
      <w:r>
        <w:rPr>
          <w:rFonts w:hint="eastAsia" w:ascii="Times New Roman" w:hAnsi="Times New Roman" w:cs="仿宋_GB2312"/>
          <w:sz w:val="32"/>
          <w:szCs w:val="32"/>
        </w:rPr>
        <w:t>（四）截留、挪用、私分罚没款物；</w:t>
      </w:r>
    </w:p>
    <w:p w14:paraId="2DDBD16C">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（五）其他违法行为。</w:t>
      </w:r>
    </w:p>
    <w:p w14:paraId="234F3905">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城市管理主管部门查处违法行为需要有关部门提供检验结论、认定意见的，应当出具协助通知书；有关部门应当予以协助。</w:t>
      </w:r>
    </w:p>
    <w:p w14:paraId="2A72BDE6">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城市管理主管部门应当与公安、住房城乡建设、生态环境、自然资源、市场监管、文化旅游等部门建立行政执法信息互通共享机制，开展联合执法活动，共同推进城市管理工作。</w:t>
      </w:r>
    </w:p>
    <w:p w14:paraId="44251C64">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城市管理主管部门应当将权力清单、执法依据、执法程序、处罚标准等信息向社会公开，并公布投诉举报电话和线上举报等监督方式，主动接受社会监督。</w:t>
      </w:r>
    </w:p>
    <w:p w14:paraId="33B7CCB2">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任何单位和个人都有权对违反城市管理法律法规的行为进行投诉、举报，对城市管理工作提出意见、建议。</w:t>
      </w:r>
    </w:p>
    <w:p w14:paraId="296755A4">
      <w:pPr>
        <w:ind w:firstLine="632" w:firstLineChars="200"/>
        <w:rPr>
          <w:rFonts w:ascii="Times New Roman" w:hAnsi="Times New Roman" w:cs="仿宋_GB2312"/>
          <w:sz w:val="32"/>
          <w:szCs w:val="32"/>
        </w:rPr>
      </w:pPr>
      <w:r>
        <w:rPr>
          <w:rFonts w:hint="eastAsia" w:ascii="Times New Roman" w:hAnsi="Times New Roman" w:cs="仿宋_GB2312"/>
          <w:sz w:val="32"/>
          <w:szCs w:val="32"/>
        </w:rPr>
        <w:t>接到投诉、举报的部门，应当自收到投诉、举报之日起五个工作日内，予以处理并告知投诉人、举报人；投诉、举报事项不属于其职责的，应当及时移送有关部门处理。</w:t>
      </w:r>
    </w:p>
    <w:p w14:paraId="3907EF4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有关部门应当对投诉人、举报人的信息予以保密。</w:t>
      </w:r>
    </w:p>
    <w:p w14:paraId="66CB73DC">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城市管理主管部门应当将行政处罚信息纳入城市管理执法信息共享平台，通过政府网站等方式依法予以公开。</w:t>
      </w:r>
    </w:p>
    <w:p w14:paraId="5F386DF0">
      <w:pPr>
        <w:rPr>
          <w:rFonts w:ascii="Times New Roman" w:hAnsi="Times New Roman" w:eastAsia="宋体" w:cs="宋体"/>
          <w:szCs w:val="32"/>
        </w:rPr>
      </w:pPr>
    </w:p>
    <w:p w14:paraId="6D72801D">
      <w:pPr>
        <w:jc w:val="center"/>
        <w:rPr>
          <w:rFonts w:ascii="Times New Roman" w:hAnsi="Times New Roman" w:eastAsia="黑体" w:cs="黑体"/>
          <w:szCs w:val="32"/>
        </w:rPr>
      </w:pPr>
      <w:bookmarkStart w:id="60" w:name="第四章 法律责任"/>
      <w:bookmarkEnd w:id="60"/>
      <w:r>
        <w:rPr>
          <w:rFonts w:hint="eastAsia" w:ascii="Times New Roman" w:hAnsi="Times New Roman" w:eastAsia="黑体" w:cs="黑体"/>
          <w:szCs w:val="32"/>
        </w:rPr>
        <w:t>第四章　法律责任</w:t>
      </w:r>
    </w:p>
    <w:p w14:paraId="1C6BBD7F">
      <w:pPr>
        <w:rPr>
          <w:rFonts w:ascii="Times New Roman" w:hAnsi="Times New Roman" w:eastAsia="宋体" w:cs="宋体"/>
          <w:szCs w:val="32"/>
        </w:rPr>
      </w:pPr>
    </w:p>
    <w:p w14:paraId="6D4B3406">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违反本条例规定，损坏、挪动市政公用设施的，由城市管理主管部门责令改正；拒不改正的，可以并处警告、五百元以下罚款。</w:t>
      </w:r>
    </w:p>
    <w:p w14:paraId="55676E46">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违反本条例规定，投入使用的停车场擅自停止使用或者改作他用的，由城市管理主管部门给予警告，责令限期改正；逾期不改正的，可以处一万元以上五万元以下罚款。</w:t>
      </w:r>
    </w:p>
    <w:p w14:paraId="10C03DEA">
      <w:pPr>
        <w:ind w:firstLine="632" w:firstLineChars="200"/>
        <w:rPr>
          <w:rFonts w:ascii="Times New Roman" w:hAnsi="Times New Roman" w:cs="仿宋_GB2312"/>
          <w:sz w:val="32"/>
          <w:szCs w:val="32"/>
        </w:rPr>
      </w:pPr>
      <w:bookmarkStart w:id="63" w:name="第五十三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条例规定，机动车未在规定地点停放的，由公安交通管理部门依法处理。非机动车未在规定地点停放或者停放妨碍其他车辆和行人通行的，城市管理主管部门可以指出违法行为，并予以口头警告，令其立即驶离。</w:t>
      </w:r>
    </w:p>
    <w:p w14:paraId="4453F24F">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违反本条例规定，有下列行为之一的，由城市管理主管部门责令改正，按照下列规定处罚：</w:t>
      </w:r>
    </w:p>
    <w:p w14:paraId="23B91CDF">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城市建筑物、设施以及树木上涂写、刻画的，或者擅自在城市建筑物、设施上张挂、张贴宣传品的，或者在临街建筑物的阳台和窗外堆放、吊挂有碍市容物品的，可以并处警告、一百元以上五百元以下罚款。</w:t>
      </w:r>
    </w:p>
    <w:p w14:paraId="104B4656">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（二）擅自在街道两侧和公共场地堆放物料的，可以处二百元以上一千元以下罚款。</w:t>
      </w:r>
    </w:p>
    <w:p w14:paraId="27DB7B36">
      <w:pPr>
        <w:ind w:firstLine="632" w:firstLineChars="200"/>
        <w:rPr>
          <w:rFonts w:ascii="Times New Roman" w:hAnsi="Times New Roman" w:cs="仿宋_GB2312"/>
          <w:sz w:val="32"/>
          <w:szCs w:val="32"/>
        </w:rPr>
      </w:pPr>
      <w:r>
        <w:rPr>
          <w:rFonts w:hint="eastAsia" w:ascii="Times New Roman" w:hAnsi="Times New Roman" w:cs="仿宋_GB2312"/>
          <w:sz w:val="32"/>
          <w:szCs w:val="32"/>
        </w:rPr>
        <w:t>（三）随地吐痰、便溺，乱倒污水，乱扔瓶罐、果皮、纸屑、烟蒂、塑料袋等废物的，可以并处警告、十元以上五十元以下罚款。</w:t>
      </w:r>
    </w:p>
    <w:p w14:paraId="69565905">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违反本条例规定，在市区内饲养家畜家禽影响市容和环境卫生的，由城市管理主管部门责令其限期处理或者予以没收，可以处一百元以上五百元以下罚款。</w:t>
      </w:r>
    </w:p>
    <w:p w14:paraId="0EAF1223">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违反本条例规定，擅自在公共场所上空及住宅、楼宇之间设置架空管线的，由城市管理主管部门责令限期改正，可以处二万元以下罚款。</w:t>
      </w:r>
    </w:p>
    <w:p w14:paraId="08D69F96">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违反本条例规定，擅自设置大型户外广告影响市容的，由城市管理主管部门责令限期改正，可以处二千元以上二万元以下罚款。</w:t>
      </w:r>
    </w:p>
    <w:p w14:paraId="7584ACB9">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违反本条例规定，擅自占用城市道路、人行天桥、地下通道、广场、公园及其他公共场所摆摊设点的，由城市管理主管部门责令改正；拒不改正的，可以并处警告、五十元以上二百元以下罚款。</w:t>
      </w:r>
    </w:p>
    <w:p w14:paraId="60D0F706">
      <w:pPr>
        <w:ind w:firstLine="632" w:firstLineChars="200"/>
        <w:rPr>
          <w:rFonts w:ascii="Times New Roman" w:hAnsi="Times New Roman" w:cs="仿宋_GB2312"/>
          <w:sz w:val="32"/>
          <w:szCs w:val="32"/>
        </w:rPr>
      </w:pPr>
      <w:r>
        <w:rPr>
          <w:rFonts w:hint="eastAsia" w:ascii="Times New Roman" w:hAnsi="Times New Roman" w:cs="仿宋_GB2312"/>
          <w:sz w:val="32"/>
          <w:szCs w:val="32"/>
        </w:rPr>
        <w:t>临街从事经营的商户占道经营的，由城市管理主管部门责令改正；拒不改正的，可以并处警告、二百元以上二千元以下罚款。</w:t>
      </w:r>
    </w:p>
    <w:p w14:paraId="5E5B40D2">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违反本条例规定，在临时设摊经营区未按照规定的时间、地点、区域范围经营的，由城市管理主管部门责令改正；拒不改正的，可以处五十元以上二百元以下罚款。</w:t>
      </w:r>
    </w:p>
    <w:p w14:paraId="436F96BD">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违反本条例规定，擅自占用城市绿化用地的，由城市管理主管部门责令限期退还、恢复原状，可以处三万元以下罚款。</w:t>
      </w:r>
    </w:p>
    <w:p w14:paraId="2267AD25">
      <w:pPr>
        <w:ind w:firstLine="632" w:firstLineChars="200"/>
        <w:rPr>
          <w:rFonts w:ascii="Times New Roman" w:hAnsi="Times New Roman" w:cs="仿宋_GB2312"/>
          <w:sz w:val="32"/>
          <w:szCs w:val="32"/>
        </w:rPr>
      </w:pPr>
      <w:r>
        <w:rPr>
          <w:rFonts w:hint="eastAsia" w:ascii="Times New Roman" w:hAnsi="Times New Roman" w:cs="仿宋_GB2312"/>
          <w:sz w:val="32"/>
          <w:szCs w:val="32"/>
        </w:rPr>
        <w:t>损坏城市树木花草的，由城市管理主管部门责令停止违法行为，对个人可以处五十元以上二百元以下罚款；对单位可以处五百元以上二千元以下罚款。</w:t>
      </w:r>
    </w:p>
    <w:p w14:paraId="3CF278F4">
      <w:pPr>
        <w:ind w:firstLine="632" w:firstLineChars="200"/>
        <w:rPr>
          <w:rFonts w:ascii="Times New Roman" w:hAnsi="Times New Roman" w:cs="仿宋_GB2312"/>
          <w:sz w:val="32"/>
          <w:szCs w:val="32"/>
        </w:rPr>
      </w:pPr>
      <w:r>
        <w:rPr>
          <w:rFonts w:hint="eastAsia" w:ascii="Times New Roman" w:hAnsi="Times New Roman" w:cs="仿宋_GB2312"/>
          <w:sz w:val="32"/>
          <w:szCs w:val="32"/>
        </w:rPr>
        <w:t>擅自砍伐城市树木的，由城市管理主管部门责令停止违法行为，可以处砍伐树木价值一倍以上三倍以下罚款。</w:t>
      </w:r>
    </w:p>
    <w:p w14:paraId="1704729D">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城市管理主管部门和其他有关部门工作人员，在城市管理工作中滥用职权、玩忽职守、徇私舞弊的，依法给予处分。</w:t>
      </w:r>
    </w:p>
    <w:p w14:paraId="05751804">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违反本条例规定的其他行为，法律法规已有处罚规定的，从其规定。</w:t>
      </w:r>
    </w:p>
    <w:p w14:paraId="460C3F27">
      <w:pPr>
        <w:rPr>
          <w:rFonts w:ascii="Times New Roman" w:hAnsi="Times New Roman" w:eastAsia="宋体" w:cs="宋体"/>
          <w:szCs w:val="32"/>
        </w:rPr>
      </w:pPr>
    </w:p>
    <w:p w14:paraId="719AE649">
      <w:pPr>
        <w:jc w:val="center"/>
        <w:rPr>
          <w:rFonts w:ascii="Times New Roman" w:hAnsi="Times New Roman" w:eastAsia="黑体" w:cs="黑体"/>
          <w:szCs w:val="32"/>
        </w:rPr>
      </w:pPr>
      <w:bookmarkStart w:id="73" w:name="第五章 附则"/>
      <w:bookmarkEnd w:id="73"/>
      <w:r>
        <w:rPr>
          <w:rFonts w:hint="eastAsia" w:ascii="Times New Roman" w:hAnsi="Times New Roman" w:eastAsia="黑体" w:cs="黑体"/>
          <w:szCs w:val="32"/>
        </w:rPr>
        <w:t>第五章　附　　则</w:t>
      </w:r>
    </w:p>
    <w:p w14:paraId="5CAECD1A">
      <w:pPr>
        <w:rPr>
          <w:rFonts w:ascii="Times New Roman" w:hAnsi="Times New Roman" w:eastAsia="宋体" w:cs="宋体"/>
          <w:szCs w:val="32"/>
        </w:rPr>
      </w:pPr>
    </w:p>
    <w:p w14:paraId="4DF22D23">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本条例自2025年6月1日起施行。2016年10月28日日喀则市第一届人民代表大会常务委员会第十二次会议通过，2016年11月30日西藏自治区第十届人民代表大会常务委员会第二十七次会议批准的《日喀则市市容和环境卫生管理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C5628EF"/>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7314</Words>
  <Characters>7344</Characters>
  <Lines>87</Lines>
  <Paragraphs>24</Paragraphs>
  <TotalTime>0</TotalTime>
  <ScaleCrop>false</ScaleCrop>
  <LinksUpToDate>false</LinksUpToDate>
  <CharactersWithSpaces>7438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2025-07-01T03:24:19Z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