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衡水市地下水管理条例"/>
      <w:bookmarkEnd w:id="0"/>
      <w:r>
        <w:rPr>
          <w:rFonts w:ascii="方正小标宋简体" w:eastAsia="方正小标宋简体" w:hAnsi="方正小标宋简体" w:cs="方正小标宋简体" w:hint="eastAsia"/>
          <w:color w:val="333333"/>
          <w:sz w:val="44"/>
          <w:szCs w:val="44"/>
          <w:shd w:val="clear" w:color="auto" w:fill="FFFFFF"/>
        </w:rPr>
        <w:t>衡水市地下水管理条例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（2024年12月31日衡水市第七届人民代表大会常务委员会第二十九次会议通过　2025年3月27日河北省第十四届人民代表大会常务委员会第十四次会议批准）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地下水保护和管理，防治地下水超采和污染，保障地下水质量和可持续利用，推进生态文明建设，根据《中华人民共和国水法》、《中华人民共和国水污染防治法》、《地下水管理条例》和《河北省地下水管理条例》等法律、法规，结合本市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本市行政区域内地下水的规划与利用、节约与保护、超采治理、监督管理等活动，适用本条例。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本条例所称地下水，是指赋存于地表以下的水体（含地热水、矿泉水）。</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地下水管理应当落实水资源刚性约束制度，坚持以水定城、以水定地、以水定人、以水定产，遵循统筹规划、全面保护、总量控制、节水优先、高效利用、系统治理的原则，保障地下水保护利用和经济社会发展相协调。</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对本行政区域内的地下水管理负责，应当将地下水管理纳入本级国民经济和社会发展规划，将地下水管理所需经费纳入本级财政预算，并采取控制开采量、水源置换、防治污染等措施，维持地下水合理水位，保护地下水水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乡镇人民政府、街道办事处应当协助、配合有关部门做好地下水相关管理和监督工作。</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水行政主管部门按照管理权限负责本行政区域内地下水统一监督管理工作，生态环境主管部门负责本行政区域内地下水污染防治监督管理工作，自然资源等主管部门按照职责分工做好本行政区域内地下水调查与监测等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发展改革、财政、农业农村、工业和信息化、城市管理、住房城乡建设、数据和政务服务、公安、气象、园林等部门和单位按照职责分工，负责地下水保护和管理相关工作。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市、县级人民政府及其有关部门应当组织开展节约、保护地下水公益性宣传，普及科学知识，增强公众节约用水和保护地下水的意识。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广播、电视、报刊、网络等新闻媒体应当加强地下水保护公益宣传和舆论监督。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鼓励支持学校、幼儿园、基层群众性自治组织、相关行业协会等社会组织及志愿者开展地下水保护法律法规和相关知识的宣传教育。</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任何单位和个人都有节约、保护地下水的义务，有权对违法利用、破坏和污染地下水的行为进行投诉、举报。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市、县级人民政府水行政主管部门应当向社会公布违法利用、破坏和污染地下水行为的投诉、举报方式，受理投诉、举报后应当及时调查处理，并将处理结果向投诉人、举报人反馈，必要时向社会公布。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对在节约、保护和管理地下水工作中做出突出贡献的单位和个人，市、县级人民政府应当按照有关规定给予表彰或者奖励。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与利用"/>
      <w:bookmarkEnd w:id="10"/>
      <w:r>
        <w:rPr>
          <w:rFonts w:ascii="Times New Roman" w:eastAsia="黑体" w:hAnsi="Times New Roman" w:cs="黑体" w:hint="eastAsia"/>
          <w:szCs w:val="32"/>
        </w:rPr>
        <w:t>第二章　规划与利用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市、县级人民政府应当组织水行政、自然资源、生态环境等主管部门开展地下水状况调查评价工作。地下水状况调查评价包括地下水资源调查评价、地下水污染调查评价和水文地质勘查评价等内容。</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水行政主管部门应当会同自然资源、生态环境等主管部门根据地下水状况调查评价成果，统筹考虑区域地下水资源状况、社会经济发展需要、污染防治等因素，编制地下水利用与保护规划，依法履行征求意见、论证评估等程序，报本级人民政府批准后向社会公布，并报上一级人民政府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地下水利用与保护规划应当严格执行，不得擅自变更。确需变更的，应当按照规划编制程序报原批准机关批准，并报上一级人民政府水行政主管部门备案。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市、县级人民政府应当对地下水利用与保护规划的实施情况定期组织监督检查和评估。</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民经济和社会发展规划，国土空间规划，与地下水资源开发利用相关的工业、农业、市政、能源、矿产资源开发等专项规划，开发区和工业园区规划，以及涉及大规模用水或者实施后对地下水资源水生态造成重大影响的其他规划等相关规划编制，重大建设项目的布局，应当与地下水资源条件和地下水保护要求相适应，并依法组织开展规划水资源论证。已审批的相关规划和重大建设项目布局，内容有重大调整的，应当重新依法开展水资源论证。</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地下水管理实行取水总量控制和水位控制制度。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市、县级人民政府应当根据地下水取水总量控制指标、地下水水位控制指标和国家相关技术标准，合理确定本行政区域内地下水取水工程布局。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水行政主管部门应当根据本行政区域内地下水取水总量控制指标、地下水水位控制指标以及科学分析测算的地下水需求量和用水结构，制定地下水年度取水计划，对本行政区域内的年度取用地下水实行总量控制，并报上一级人民政府水行政主管部门备案。</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地下水开发利用应当以浅层地下水为主。深层地下水作为饮用水源、战略储备或者应急水源，应当严格限制开采。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鼓励支持科研教学单位、社会组织以及个人，在农业、工业和养殖业等领域开展地下微咸水、咸水开发利用的科学研究和技术推广工作。</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禁止将深层地下水作为地下水源热泵系统的水源。禁止在地下水饮用水水源保护区、地下水禁止开采区利用地下水源热泵系统取用地下水。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地热水的开发利用以及地下水源热泵系统的建设和管理应当符合国家和省相关技术标准、规范，取水井与回灌井应当同层等量回灌，严禁对地下水造成污染。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中深层地热水开发利用，应当优先开采基岩热储地热资源，严格限制开采馆陶组地热资源，禁止开采作为后备饮用水源的明化镇组地热资源。</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取用地下水的单位和个人应当依照国家取水许可和水资源税征收的相关规定，办理取水许可，严格按照用水计划取水，缴纳水资源税。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取用地下水的单位和个人应当按照批准的用途使用地下水，不得转供或者擅自改变用途。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以监测、勘探为目的的地下水取水工程，不需要申请取水许可，建设单位应当于施工前向所在地县级人民政府水行政主管部门备案。跨县实施地下水取水工程的，应当向市人民政府水行政主管部门备案。</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节约与保护"/>
      <w:bookmarkEnd w:id="18"/>
      <w:r>
        <w:rPr>
          <w:rFonts w:ascii="Times New Roman" w:eastAsia="黑体" w:hAnsi="Times New Roman" w:cs="黑体" w:hint="eastAsia"/>
          <w:szCs w:val="32"/>
        </w:rPr>
        <w:t>第三章　节约与保护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市、县级人民政府应当加强节水型社会建设，全面推进农业节水、工业节水、城镇节水和非常规水源开发利用，严控地下水开采。</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新建、改建、扩建建设项目取用地下水的，应当制定节水措施方案，并按照相关标准和规范配套建设节约用水设施。节约用水设施应当与建设项目主体工程同时设计、同时施工、同时投入使用。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取用地下水的单位不得擅自停止使用已建成的节水设施。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市、县级人民政府及其有关部门应当加强本行政区域内节水设施建设的监督管理。建设项目审批单位应当将项目节水设施建设相关审批信息推送相关水行政主管部门和其他有关行业主管部门。</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新建、改建、扩建地下水取水工程，应当同时安装计量设施。已有地下水取水工程未安装计量设施的，应当按照水行政主管部门规定的期限安装。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单位和个人取用地下水量达到取水规模以上的，应当安装地下水取水在线计量设施，并将计量数据实时传输到水行政主管部门水资源管理信息系统。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需要取水的地热能开发利用项目，应当对取水和回灌进行计量，实行同一含水层等量取水和回灌，不得对地下水造成污染。达到取水规模以上的，应当安装取水和回灌在线计量设施，并将计量数据实时传输到水行政主管部门水资源管理信息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取用地下水的单位和个人应当加强地下水取水计量设施的维护，定期开展计量器具检定校准，保证数据的真实性、准确性、完整性和及时性，不得篡改、伪造地下水取水计量监测及统计数据。</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任何单位和个人不得侵占、毁坏或者擅自移动地下水监测设施设备及其标志。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建设工程应当避开地下水监测设施设备；确实无法避开、需要拆除地下水监测设施设备的，应当由水行政、自然资源、生态环境等主管部门按照有关规定和技术要求组织迁建，迁建费用由建设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任何单位和个人不得篡改、伪造地下水监测数据。</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工业生产应当推广应用国家鼓励的工业节水技术、工艺和设备，依法淘汰相关落后产能，优化调整工业产业布局。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除酿酒、食品、制药等对水质有特殊要求的企业外，工业生产应当优先使用符合要求的再生水。</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市、县级人民政府应当限制城镇高耗水服务业发展，适度开展节水绿化，优先选用耐旱、节水的乡土适生植物，加强城市污水处理工作，全面推进节水型城市建设。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城市绿化、道路清扫、车辆冲洗、建筑施工、人工水景、水上娱乐项目、人工造雪以及生态景观等用水，应当优先使用符合要求的再生水。</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取用地下水的单位和个人，应当厉行节约用水，使用先进节水技术、工艺和设备，采取循环用水、综合利用以及废水处理回用等措施，减少地下水使用，降低地下水消耗。</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市、县级人民政府应当推进海绵城市建设，推广海绵型建筑、道路、公园、绿地等，逐步完善滞、渗、蓄、净、用、排等相结合的雨水收集利用系统，增加对地下水的补给。</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河湖生态补水，河流、湖泊清理整治应当兼顾地下水水源涵养，充分利用自然条件补充地下水。河流、湖泊治理应当减少防渗材料使用。加强湿地保护和管理，发挥湿地净化水质、补给涵养地下水的功能和作用。</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农业农村等有关主管部门应当加强农药、肥料等农业投入品的使用指导和技术服务，推广使用低毒、低残留农药，鼓励和引导农民及农业生产经营组织合理使用农药、肥料等农业投入品，防止污染地下水。</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禁止下列污染或者可能污染地下水的行为：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（一）利用渗井、渗坑、裂隙、溶洞，私设暗管，篡改、伪造监测数据，或者不正常运行水污染防治设施等逃避监管的方式排放水污染物；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（二）利用岩层孔隙、裂隙、溶洞、废弃矿坑等贮存石化原料及产品、农药、危险废物、城镇污水处理设施产生的污泥和处理后的污泥或者其他有毒有害物质；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（三）利用无防渗漏措施的沟渠、坑塘等输送或者贮存含有毒污染物的废水、含病原体的污水和其他废弃物；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（四）法律、法规禁止的其他污染或者可能污染地下水的行为。</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市人民政府生态环境主管部门应当按照国家有关规定，商有关部门确定并公布地下水污染防治重点排污单位名录。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地下水污染防治重点排污单位应当依法安装水污染物排放自动监测设备，与生态环境主管部门的监控设备联网，并保证监测设备正常运行；应当采取防渗漏等措施，防止地下水污染。</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超采治理"/>
      <w:bookmarkEnd w:id="31"/>
      <w:r>
        <w:rPr>
          <w:rFonts w:ascii="Times New Roman" w:eastAsia="黑体" w:hAnsi="Times New Roman" w:cs="黑体" w:hint="eastAsia"/>
          <w:szCs w:val="32"/>
        </w:rPr>
        <w:t>第四章　超采治理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市、县级人民政府应当组织编制本行政区域地下水超采综合治理方案，报上一级人民政府水行政主管部门备案，并按照方案要求完成地下水超采综合治理年度任务。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地下水超采综合治理方案编制应当坚持问题导向，明确治理目标、治理措施、保障措施、责任主体和完成时限等。</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除下列情形外，在地下水禁止开采区内禁止取用地下水：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（一）为保障地下工程施工安全和生产安全必须进行临时应急取（排）水；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（二）为消除对公共安全或者公共利益的危害临时应急取水；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（三）为开展地下水监测、勘探、试验少量取水。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除前款规定的情形外，在地下水限制开采区内禁止新增取用地下水，并逐步削减地下水取水量；前款规定的情形消除后，应当立即停止取用地下水。</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水行政主管部门应当定期组织开展本行政区域内地下水取水工程核查，根据其使用情况按正常使用、封填、常规封存、应急封存、热备封存和季节性关停（管控）等进行分类登记，落实监督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废的钻井、矿井、地下水取水工程，或者未建成、已完成勘探任务、依法应当停止取水的地下水取水工程，应当由工程所有权人或者管理单位依法实施封井或者回填；所有权人或者管理单位应当将其封井或者回填情况书面告知县级以上人民政府水行政主管部门；无法确定所有权人或者管理单位的，由县级以上人民政府或者其授权的部门负责组织实施封井或者回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实施封井或者回填，应当符合国家有关技术标准。</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市、县级人民政府应当调整优化农业种植结构，大力发展节水农业，鼓励和支持通过季节性休耕、旱作雨养、高效节水灌溉、农艺节水等措施控制和减少地下水取用量。</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市推进农业灌溉深度节水。支持和推动节水灌溉工程设施建设以及高标准农田建设，逐步扩大喷灌、微灌、管道输水灌溉、渠道防渗输水灌溉、集雨补灌等节水灌溉技术覆盖面积。推进微咸水、咸水资源开发利用，因地制宜实施与地表水混合灌溉。推广土壤保墒、水肥一体化、养殖废水资源化利用等种植业、养殖业节水技术。发挥种粮大户、家庭农场、农民合作社等新型经营主体在种植结构调整、节水灌溉和地表水利用上的规模优势，压减农用地下水开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组织水行政、农业农村、气象、供电、水文等有关部门和单位，建立定期会商机制，适时开展土壤墒情监测和降水预报，结合区域特点、作物种类，测算农业灌溉需水量，合理制定引蓄水计划，加强农技下乡服务，指导农民适时、适量灌溉，减少地下水开采。</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市、县级人民政府应当加强农业灌溉取用地下水计量设施建设。农业灌溉取用地下水暂不具备计量条件的，可以采用以电折水等间接方式进行计量。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市、县级人民政府水行政主管部门应当做好农业灌溉地下水取水井监督管理。</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市、县级人民政府应当加强南水北调工程、引黄工程和其他重点地表水水源工程的建设、保护和管理，完善地表水置换地下水的输配水工程设施，扩大地表水供水范围。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加强河湖水系连通工程整治和农田水利建设，以河代库、以渠代库、以塘代库，提高地表水输送和存蓄能力。积极开展人工影响天气作业，推进雨雪水收集、存蓄和利用。建立多种水源联合调度机制，合理配置、高效利用引调水、本地地表水和非常规水，减少地下水超采，改善水生态环境。</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市、县级人民政府水行政、自然资源等主管部门应当积极探索在有条件的区域，科学论证地下水回补可行性，依据有关规定标准，合理开展地下水回补，加强地下水水源涵养，增加地下水战略储备。</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市、县级人民政府应当加大争取国家和省在工农业节水、替代水源供给、公共供水管网建设、产业结构调整等方面支持的力度。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鼓励和引导社会力量发挥融资、专业、技术和管理优势，参与水利基础设施建设。</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五章 监督管理"/>
      <w:bookmarkEnd w:id="41"/>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市、县级人民政府水行政、自然资源、生态环境等主管部门应当依照职责加强监督管理，完善协作配合机制。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水行政主管部门应当会同自然资源、生态环境等主管部门完善地下水监测工作体系，加强地下水监测，并建立地下水监测信息共享和通报机制，定期向社会公开有关信息，为节约、保护地下水和监督地下水开发利用提供便利。</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市、县级人民政府水行政主管部门应当加强对本行政区域内地下水开发利用的监督检查和水政执法，会同自然资源、生态环境、农业农村、公安等部门建立联合执法机制，依法查处违法行为。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有关部门履行监督检查职责时，有权采取下列措施：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（一）进入现场开展检查，调查了解有关情况；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（二）要求被检查单位或者个人就地下水有关问题作出说明；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（三）要求被检查单位或者个人提供有关文件、资料，进行查阅或者复制；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（四）法律、行政法规规定的其他措施。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监督检查人员在履行监督检查职责时，应当主动出示执法证件。被检查单位和个人应当予以配合，如实报告情况并提供必要数据资料，不得拒绝、阻碍。</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市、县级人民政府水行政、农业农村等主管部门按职责分工定期对本行政区域内农田水利工程进行监督检查和评估。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负责农田水利工程运行维护的单位和个人应当加强对农田水利工程的日常巡查、维修和养护，按照有关规定进行调度，保障农田水利工程正常运行。</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对县级人民政府地下水管理和保护情况实行目标责任制和考核评价制度。市人民政府有关部门按照职责分工负责考核评价工作的具体组织实施，并将地下水保护和管理目标完成情况作为对县级人民政府及其负责人考核评价的依据。</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市、县级人民政府水行政、生态环境等主管部门应当建立从事地下水节约、保护、利用活动的单位和个人的诚信档案，记录日常监督检查结果、违法行为查处等情况，并依法向社会公示。</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六章 法律责任"/>
      <w:bookmarkEnd w:id="47"/>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水行政、生态环境、自然资源等主管部门违反本条例规定，在地下水管理中滥用职权、玩忽职守、徇私舞弊的，对其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违反本条例第十七条规定，地下水取水工程未安装计量设施、计量设施不合格或者运行不正常的，依照《地下水管理条例》第五十六条的规定予以处罚。</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一款规定，侵占、毁坏或者擅自移动地下水监测设施设备及其标志的，由水行政、自然资源、生态环境主管部门根据职责分工责令停止违法行为，限期采取补救措施，处三万元以上十万元以下罚款；逾期不采取补救措施的，由水行政、自然资源、生态环境主管部门组织补救，所需费用由违法行为人承担。</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七章 附则"/>
      <w:bookmarkEnd w:id="52"/>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地下水取水工程，是指地下水取水井及其配套设施，包括水井、集水廊道、集水池、渗渠、注水井以及需要取水的地热能开发利用项目的取水井和回灌井等。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深层地热水，是指由地质作用形成的，埋藏深度在二百米以下、四千米以内的，温度高于二十五摄氏度的水资源。按照赋存的地层层位分为明化镇组热储层（一般埋深五百米至一千二百米）、馆陶组热储层（一般埋深一千二百米至二千米）、基岩热储层（一般埋深八百米至四千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地下水源热泵系统，是指利用地表以下二百米以内、温度低于二十五摄氏度的地下水作为低位热源，利用热泵技术，实现冷热量转移，为使用对象供热（冷）的系统。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地下水超采区，是指地下水实际开采量超过可开采量，引起地下水水位持续下降、引发生态损害和地质灾害的区域。</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本条例关于县级人民政府的规定适用于衡水市高新技术产业开发区管理委员会和滨湖新区管理委员会。</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