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33D7A4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莫力达瓦达斡尔族自治旗河道保护管理条例"/>
      <w:bookmarkEnd w:id="0"/>
      <w:r>
        <w:rPr>
          <w:rFonts w:hint="eastAsia" w:ascii="方正小标宋简体" w:hAnsi="方正小标宋简体" w:eastAsia="方正小标宋简体" w:cs="方正小标宋简体"/>
          <w:color w:val="333333"/>
          <w:sz w:val="44"/>
          <w:szCs w:val="44"/>
          <w:shd w:val="clear" w:color="auto" w:fill="FFFFFF"/>
        </w:rPr>
        <w:t>莫力达瓦达斡尔族自治旗</w:t>
      </w:r>
      <w:r>
        <w:rPr>
          <w:rFonts w:hint="eastAsia" w:ascii="方正小标宋简体" w:hAnsi="方正小标宋简体" w:eastAsia="方正小标宋简体" w:cs="方正小标宋简体"/>
          <w:color w:val="333333"/>
          <w:sz w:val="44"/>
          <w:szCs w:val="44"/>
          <w:shd w:val="clear" w:color="auto" w:fill="FFFFFF"/>
        </w:rPr>
        <w:br w:type="textWrapping"/>
      </w:r>
      <w:bookmarkStart w:id="30" w:name="_GoBack"/>
      <w:bookmarkEnd w:id="30"/>
      <w:r>
        <w:rPr>
          <w:rFonts w:hint="eastAsia" w:ascii="方正小标宋简体" w:hAnsi="方正小标宋简体" w:eastAsia="方正小标宋简体" w:cs="方正小标宋简体"/>
          <w:color w:val="333333"/>
          <w:sz w:val="44"/>
          <w:szCs w:val="44"/>
          <w:shd w:val="clear" w:color="auto" w:fill="FFFFFF"/>
        </w:rPr>
        <w:t>河道保护管理条例</w:t>
      </w:r>
    </w:p>
    <w:p w14:paraId="76EAC60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（2020年1月20日莫力达瓦达斡尔族自治旗第十三届人民代表大会第四次会议通过　2020年6月11日内蒙古自治区第十三届人民代表大会常务委员会第二十次会议批准　根据2025年2月21日莫力达瓦达斡尔族自治旗第十四届人民代表大会第四次会议《关于修改〈莫力达瓦达斡尔族自治旗河道保护管理条例〉〈莫力达瓦达斡尔族自治旗城市市容和环境卫生管理条例〉的决定》修正　2025年5月29日内蒙古自治区第十四届人民代表大会常务委员会第十七次会议批准）</w:t>
      </w:r>
    </w:p>
    <w:p w14:paraId="2052322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河道保护管理，保障防洪安全，维护河道生态环境，发挥河湖综合效益，根据《中华人民共和国水法》《中华人民共和国防洪法》《中华人民共和国河道管理条例》等法律、法规，结合自治旗实际，制定本条例。</w:t>
      </w:r>
    </w:p>
    <w:p w14:paraId="167F1CCC">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自治旗行政区域内河道（包括湖泊、人工水道、水库、行洪区、蓄洪区、滞洪区等）的规划、保护、建设、开发利用和管理，应当遵守国家、自治区、呼伦贝尔市河道保护管理有关法律法规和本条例。</w:t>
      </w:r>
    </w:p>
    <w:p w14:paraId="48EF2DBE">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河道保护管理应当坚持中国共产党的领导，以铸牢中华民族共同体意识为工作主线，牢固树立和践行绿水青山就是金山银山的理念，统筹山水林田湖草沙一体化保护和系统治理，服从防洪的总体安排，遵循全面规划、统筹兼顾、保护优先、综合治理、合理利用、公众参与的原则。</w:t>
      </w:r>
    </w:p>
    <w:p w14:paraId="05755807">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自治旗实行旗、乡镇级领导负责的河长制。各级河长应当按照上级和自治旗人民政府实行河长制的有关规定，履行河长职责。</w:t>
      </w:r>
    </w:p>
    <w:p w14:paraId="27155201">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自治旗人民政府应当建立河长制考核评价制度、目标责任制和公众参与信息平台，并聘请有关专业组织、社会公众对河长的履职情况进行监督和评价。</w:t>
      </w:r>
    </w:p>
    <w:p w14:paraId="07C9A5EA">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自治旗人民政府应当加强对河道保护管理工作的组织领导，建立健全河道保护管理工作指挥协调机制和应急联动机制。河道保护管理应当纳入自治旗国民经济和社会发展规划，河道整治建设、维修养护、管理运行所需经费应当纳入自治旗年度财政预算。</w:t>
      </w:r>
    </w:p>
    <w:p w14:paraId="36A915F3">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自治旗人民政府水行政主管部门对本行政区域内河道实施统一监督管理。</w:t>
      </w:r>
    </w:p>
    <w:p w14:paraId="07EEDEB4">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旗人民政府发展改革、工业和信息化、公安、财政、自然资源、生态环境、住房和城乡建设、交通运输、农牧和科技、文化和旅游、应急管理、林业和草原等有关部门按照各自职责分工，负责本行政区域内河道保护和管理相关工作。</w:t>
      </w:r>
    </w:p>
    <w:p w14:paraId="57165DF5">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国家公园、自然保护区、自然公园、湿地公园等涉及河道管理的，其管理机构应当按照各自职责做好河道保护和管理相关工作。</w:t>
      </w:r>
    </w:p>
    <w:p w14:paraId="312D6EBB">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乡镇人民政府应当加强辖区内河道保护管理工作，及时发现、纠正和阻止河道违法行为，协助做好河道的清淤、保洁等工作。</w:t>
      </w:r>
    </w:p>
    <w:p w14:paraId="4934AFDF">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村民委员会应当制定河道保护管理“村规民约”，协助做好河道的清淤、保洁等工作。</w:t>
      </w:r>
    </w:p>
    <w:p w14:paraId="07D93F5D">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任何单位和个人有权对破坏河道及其配套设施和危害河道生态环境的行为进行劝阻和举报。有关机关受理举报后，应当依法进行调查核实，对举报人的相关信息予以保密，保护举报人的合法权益。</w:t>
      </w:r>
    </w:p>
    <w:p w14:paraId="399AE9DB">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自治旗人民政府水行政主管部门应当根据河道保护管理权限，编制河道保护管理名录和规划，报自治旗人民政府批准后实施，并报上一级水行政主管部门备案。河道保护管理名录应当向社会公布。</w:t>
      </w:r>
    </w:p>
    <w:p w14:paraId="19266AA3">
      <w:pPr>
        <w:ind w:firstLine="632" w:firstLineChars="200"/>
        <w:rPr>
          <w:rFonts w:ascii="Times New Roman" w:hAnsi="Times New Roman" w:cs="仿宋_GB2312"/>
          <w:sz w:val="32"/>
          <w:szCs w:val="32"/>
        </w:rPr>
      </w:pPr>
      <w:r>
        <w:rPr>
          <w:rFonts w:hint="eastAsia" w:ascii="Times New Roman" w:hAnsi="Times New Roman" w:cs="仿宋_GB2312"/>
          <w:sz w:val="32"/>
          <w:szCs w:val="32"/>
        </w:rPr>
        <w:t>河道保护管理规划应当包括河道水域保护、河道建设与整治、清淤疏浚、岸线保护等内容。</w:t>
      </w:r>
    </w:p>
    <w:p w14:paraId="2835A535">
      <w:pPr>
        <w:ind w:firstLine="632" w:firstLineChars="200"/>
        <w:rPr>
          <w:rFonts w:ascii="Times New Roman" w:hAnsi="Times New Roman" w:cs="仿宋_GB2312"/>
          <w:sz w:val="32"/>
          <w:szCs w:val="32"/>
        </w:rPr>
      </w:pPr>
      <w:r>
        <w:rPr>
          <w:rFonts w:hint="eastAsia" w:ascii="Times New Roman" w:hAnsi="Times New Roman" w:cs="仿宋_GB2312"/>
          <w:sz w:val="32"/>
          <w:szCs w:val="32"/>
        </w:rPr>
        <w:t>河道保护管理规划应当符合流域、区域综合规划和防洪、水资源等专业规划，并与其他专业规划相衔接。</w:t>
      </w:r>
    </w:p>
    <w:p w14:paraId="3F28C244">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编制和修改国土空间规划，应当将河道保护管理纳入规划，发挥河道在防洪排涝、涵养水土、美化环境、生态环境保护等方面的功能。</w:t>
      </w:r>
    </w:p>
    <w:p w14:paraId="530E4D21">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自治旗境内有堤防的河道，管理范围为两岸堤防之间的水域、沙洲、滩地（包括可耕地）、行洪区，两岸堤防及护堤地。</w:t>
      </w:r>
    </w:p>
    <w:p w14:paraId="37258ED5">
      <w:pPr>
        <w:ind w:firstLine="632" w:firstLineChars="200"/>
        <w:rPr>
          <w:rFonts w:ascii="Times New Roman" w:hAnsi="Times New Roman" w:cs="仿宋_GB2312"/>
          <w:sz w:val="32"/>
          <w:szCs w:val="32"/>
        </w:rPr>
      </w:pPr>
      <w:r>
        <w:rPr>
          <w:rFonts w:hint="eastAsia" w:ascii="Times New Roman" w:hAnsi="Times New Roman" w:cs="仿宋_GB2312"/>
          <w:sz w:val="32"/>
          <w:szCs w:val="32"/>
        </w:rPr>
        <w:t>无堤防的河道，管理范围在乡镇所在地为五十年一遇洪水位线以下，村屯为二十年一遇洪水位线以下。</w:t>
      </w:r>
    </w:p>
    <w:p w14:paraId="4B03834C">
      <w:pPr>
        <w:ind w:firstLine="632" w:firstLineChars="200"/>
        <w:rPr>
          <w:rFonts w:ascii="Times New Roman" w:hAnsi="Times New Roman" w:cs="仿宋_GB2312"/>
          <w:sz w:val="32"/>
          <w:szCs w:val="32"/>
        </w:rPr>
      </w:pPr>
      <w:r>
        <w:rPr>
          <w:rFonts w:hint="eastAsia" w:ascii="Times New Roman" w:hAnsi="Times New Roman" w:cs="仿宋_GB2312"/>
          <w:sz w:val="32"/>
          <w:szCs w:val="32"/>
        </w:rPr>
        <w:t>河道的具体管理范围，由自治旗人民政府负责划定并公布。</w:t>
      </w:r>
    </w:p>
    <w:p w14:paraId="163E1602">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自治旗人民政府应当设立河道岸线保护区、保留区、控制利用区和开发利用区，对水域和岸线资源实施有效保护和合理开发利用。</w:t>
      </w:r>
    </w:p>
    <w:p w14:paraId="0F00015F">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自治旗岸线资源的自然和经济社会功能属性，对防洪安全、生态保护、物种保护及独特的自然人文景观保护等至关重要的岸线设为保护区；对规划期内暂时不开发利用或者尚不具备开发利用条件的岸线设为保留区；对开发利用存在风险，或开发利用程度已较高，进一步开发利用将对防洪、供水和河流生态安全等造成影响的岸线设为控制利用区；对河势基本稳定，无特殊生态保护或特定功能要求，开发利用活动对防洪、供水安全及河流健康影响较小的岸线设为开发利用区。</w:t>
      </w:r>
    </w:p>
    <w:p w14:paraId="3A155303">
      <w:pPr>
        <w:ind w:firstLine="632" w:firstLineChars="200"/>
        <w:rPr>
          <w:rFonts w:ascii="Times New Roman" w:hAnsi="Times New Roman" w:cs="仿宋_GB2312"/>
          <w:sz w:val="32"/>
          <w:szCs w:val="32"/>
        </w:rPr>
      </w:pPr>
      <w:r>
        <w:rPr>
          <w:rFonts w:hint="eastAsia" w:ascii="Times New Roman" w:hAnsi="Times New Roman" w:cs="仿宋_GB2312"/>
          <w:sz w:val="32"/>
          <w:szCs w:val="32"/>
        </w:rPr>
        <w:t>河道岸线功能区划定后，可以依据水文水势、生态环境等条件的变化予以调整。</w:t>
      </w:r>
    </w:p>
    <w:p w14:paraId="20B6C9A2">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在河道管理范围内，禁止下列行为：</w:t>
      </w:r>
    </w:p>
    <w:p w14:paraId="3F1B35AA">
      <w:pPr>
        <w:ind w:firstLine="632" w:firstLineChars="200"/>
        <w:rPr>
          <w:rFonts w:ascii="Times New Roman" w:hAnsi="Times New Roman" w:cs="仿宋_GB2312"/>
          <w:sz w:val="32"/>
          <w:szCs w:val="32"/>
        </w:rPr>
      </w:pPr>
      <w:r>
        <w:rPr>
          <w:rFonts w:hint="eastAsia" w:ascii="Times New Roman" w:hAnsi="Times New Roman" w:cs="仿宋_GB2312"/>
          <w:sz w:val="32"/>
          <w:szCs w:val="32"/>
        </w:rPr>
        <w:t>（一）侵占、破坏、损毁堤防、护岸、闸坝、抽水站、排水渠和防汛设施、水文地质监测设施等工程设施的；</w:t>
      </w:r>
    </w:p>
    <w:p w14:paraId="024BFA9E">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（二）建设妨碍行洪的建筑物、构筑物，从事影响河势稳定，危害河岸堤防安全和其他妨碍河道行洪的活动；</w:t>
      </w:r>
    </w:p>
    <w:p w14:paraId="741D419E">
      <w:pPr>
        <w:ind w:firstLine="632" w:firstLineChars="200"/>
        <w:rPr>
          <w:rFonts w:ascii="Times New Roman" w:hAnsi="Times New Roman" w:cs="仿宋_GB2312"/>
          <w:sz w:val="32"/>
          <w:szCs w:val="32"/>
        </w:rPr>
      </w:pPr>
      <w:r>
        <w:rPr>
          <w:rFonts w:hint="eastAsia" w:ascii="Times New Roman" w:hAnsi="Times New Roman" w:cs="仿宋_GB2312"/>
          <w:sz w:val="32"/>
          <w:szCs w:val="32"/>
        </w:rPr>
        <w:t>（三）围垦湖泊或擅自围垦河道的；</w:t>
      </w:r>
    </w:p>
    <w:p w14:paraId="39FD9B8D">
      <w:pPr>
        <w:ind w:firstLine="632" w:firstLineChars="200"/>
        <w:rPr>
          <w:rFonts w:ascii="Times New Roman" w:hAnsi="Times New Roman" w:cs="仿宋_GB2312"/>
          <w:sz w:val="32"/>
          <w:szCs w:val="32"/>
        </w:rPr>
      </w:pPr>
      <w:r>
        <w:rPr>
          <w:rFonts w:hint="eastAsia" w:ascii="Times New Roman" w:hAnsi="Times New Roman" w:cs="仿宋_GB2312"/>
          <w:sz w:val="32"/>
          <w:szCs w:val="32"/>
        </w:rPr>
        <w:t>（四）种植阻碍行洪的林木（护堤护岸林木除外）、高秆作物的；</w:t>
      </w:r>
    </w:p>
    <w:p w14:paraId="0C40C238">
      <w:pPr>
        <w:ind w:firstLine="632" w:firstLineChars="200"/>
        <w:rPr>
          <w:rFonts w:ascii="Times New Roman" w:hAnsi="Times New Roman" w:cs="仿宋_GB2312"/>
          <w:sz w:val="32"/>
          <w:szCs w:val="32"/>
        </w:rPr>
      </w:pPr>
      <w:r>
        <w:rPr>
          <w:rFonts w:hint="eastAsia" w:ascii="Times New Roman" w:hAnsi="Times New Roman" w:cs="仿宋_GB2312"/>
          <w:sz w:val="32"/>
          <w:szCs w:val="32"/>
        </w:rPr>
        <w:t>（五）弃置、堆放阻碍行洪的矿渣、石渣、煤灰、泥土、垃圾等物体的；</w:t>
      </w:r>
    </w:p>
    <w:p w14:paraId="0AB7FC4C">
      <w:pPr>
        <w:ind w:firstLine="632" w:firstLineChars="200"/>
        <w:rPr>
          <w:rFonts w:ascii="Times New Roman" w:hAnsi="Times New Roman" w:cs="仿宋_GB2312"/>
          <w:sz w:val="32"/>
          <w:szCs w:val="32"/>
        </w:rPr>
      </w:pPr>
      <w:r>
        <w:rPr>
          <w:rFonts w:hint="eastAsia" w:ascii="Times New Roman" w:hAnsi="Times New Roman" w:cs="仿宋_GB2312"/>
          <w:sz w:val="32"/>
          <w:szCs w:val="32"/>
        </w:rPr>
        <w:t>（六）排放未经处理或者经处理未达到规定标准的污水，堆放、倾倒、掩埋、排放污染水体的物体，清洗装贮过油类或者有毒、有污染物的车辆、容器，以及实施其他污染环境的行为；</w:t>
      </w:r>
    </w:p>
    <w:p w14:paraId="2F318AC9">
      <w:pPr>
        <w:ind w:firstLine="632" w:firstLineChars="200"/>
        <w:rPr>
          <w:rFonts w:ascii="Times New Roman" w:hAnsi="Times New Roman" w:cs="仿宋_GB2312"/>
          <w:sz w:val="32"/>
          <w:szCs w:val="32"/>
        </w:rPr>
      </w:pPr>
      <w:r>
        <w:rPr>
          <w:rFonts w:hint="eastAsia" w:ascii="Times New Roman" w:hAnsi="Times New Roman" w:cs="仿宋_GB2312"/>
          <w:sz w:val="32"/>
          <w:szCs w:val="32"/>
        </w:rPr>
        <w:t>（七）在堤防和护堤地从事建房、垦种、放牧、开渠、挖窖、打井、葬坟、晒粮、存放物料、开采地下资源、考古发掘、集市贸易等危及堤防安全的活动；</w:t>
      </w:r>
    </w:p>
    <w:p w14:paraId="6C1A4131">
      <w:pPr>
        <w:ind w:firstLine="632" w:firstLineChars="200"/>
        <w:rPr>
          <w:rFonts w:ascii="Times New Roman" w:hAnsi="Times New Roman" w:cs="仿宋_GB2312"/>
          <w:sz w:val="32"/>
          <w:szCs w:val="32"/>
        </w:rPr>
      </w:pPr>
      <w:r>
        <w:rPr>
          <w:rFonts w:hint="eastAsia" w:ascii="Times New Roman" w:hAnsi="Times New Roman" w:cs="仿宋_GB2312"/>
          <w:sz w:val="32"/>
          <w:szCs w:val="32"/>
        </w:rPr>
        <w:t>（八）损毁或擅自移动界碑、界标、界桩、固定宣传牌等河道保护管理标志的；</w:t>
      </w:r>
    </w:p>
    <w:p w14:paraId="030A1335">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（九）法律法规规定的其他禁止性行为。</w:t>
      </w:r>
    </w:p>
    <w:p w14:paraId="7C3F38EB">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在河道管理范围内进行下列活动，应当报自治旗人民政府水行政主管部门审查同意或者批准；涉及其他部门的，由自治旗人民政府水行政主管部门会同有关部门审查同意或者批准；涉及上级有关部门的，应当逐级报有管辖权的上级有关部门审查同意或者批准：</w:t>
      </w:r>
    </w:p>
    <w:p w14:paraId="484A4344">
      <w:pPr>
        <w:ind w:firstLine="632" w:firstLineChars="200"/>
        <w:rPr>
          <w:rFonts w:ascii="Times New Roman" w:hAnsi="Times New Roman" w:cs="仿宋_GB2312"/>
          <w:sz w:val="32"/>
          <w:szCs w:val="32"/>
        </w:rPr>
      </w:pPr>
      <w:r>
        <w:rPr>
          <w:rFonts w:hint="eastAsia" w:ascii="Times New Roman" w:hAnsi="Times New Roman" w:cs="仿宋_GB2312"/>
          <w:sz w:val="32"/>
          <w:szCs w:val="32"/>
        </w:rPr>
        <w:t>（一）采石、取土、淘金（包括淘取其他金属或非金属）；</w:t>
      </w:r>
    </w:p>
    <w:p w14:paraId="23077BB2">
      <w:pPr>
        <w:ind w:firstLine="632" w:firstLineChars="200"/>
        <w:rPr>
          <w:rFonts w:ascii="Times New Roman" w:hAnsi="Times New Roman" w:cs="仿宋_GB2312"/>
          <w:sz w:val="32"/>
          <w:szCs w:val="32"/>
        </w:rPr>
      </w:pPr>
      <w:r>
        <w:rPr>
          <w:rFonts w:hint="eastAsia" w:ascii="Times New Roman" w:hAnsi="Times New Roman" w:cs="仿宋_GB2312"/>
          <w:sz w:val="32"/>
          <w:szCs w:val="32"/>
        </w:rPr>
        <w:t>（二）爆破、钻探、挖筑鱼塘；</w:t>
      </w:r>
    </w:p>
    <w:p w14:paraId="1810C67C">
      <w:pPr>
        <w:ind w:firstLine="632" w:firstLineChars="200"/>
        <w:rPr>
          <w:rFonts w:ascii="Times New Roman" w:hAnsi="Times New Roman" w:cs="仿宋_GB2312"/>
          <w:sz w:val="32"/>
          <w:szCs w:val="32"/>
        </w:rPr>
      </w:pPr>
      <w:r>
        <w:rPr>
          <w:rFonts w:hint="eastAsia" w:ascii="Times New Roman" w:hAnsi="Times New Roman" w:cs="仿宋_GB2312"/>
          <w:sz w:val="32"/>
          <w:szCs w:val="32"/>
        </w:rPr>
        <w:t>（三）存放物料、开采地下资源，进行考古发掘；</w:t>
      </w:r>
    </w:p>
    <w:p w14:paraId="604A5648">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（四）建设建筑物、构筑物等工程设施；</w:t>
      </w:r>
    </w:p>
    <w:p w14:paraId="694E1DFB">
      <w:pPr>
        <w:ind w:firstLine="632" w:firstLineChars="200"/>
        <w:rPr>
          <w:rFonts w:ascii="Times New Roman" w:hAnsi="Times New Roman" w:cs="仿宋_GB2312"/>
          <w:sz w:val="32"/>
          <w:szCs w:val="32"/>
        </w:rPr>
      </w:pPr>
      <w:r>
        <w:rPr>
          <w:rFonts w:hint="eastAsia" w:ascii="Times New Roman" w:hAnsi="Times New Roman" w:cs="仿宋_GB2312"/>
          <w:sz w:val="32"/>
          <w:szCs w:val="32"/>
        </w:rPr>
        <w:t>（五）新建、改建、扩建排污口的。</w:t>
      </w:r>
    </w:p>
    <w:p w14:paraId="350D6244">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自治旗人民政府水行政主管部门应当根据河道保护管理规划编制河道采砂规划，报自治旗人民政府批准后公布实施。</w:t>
      </w:r>
    </w:p>
    <w:p w14:paraId="4B45CAF4">
      <w:pPr>
        <w:ind w:firstLine="632" w:firstLineChars="200"/>
        <w:rPr>
          <w:rFonts w:ascii="Times New Roman" w:hAnsi="Times New Roman" w:cs="仿宋_GB2312"/>
          <w:sz w:val="32"/>
          <w:szCs w:val="32"/>
        </w:rPr>
      </w:pPr>
      <w:r>
        <w:rPr>
          <w:rFonts w:hint="eastAsia" w:ascii="Times New Roman" w:hAnsi="Times New Roman" w:cs="仿宋_GB2312"/>
          <w:sz w:val="32"/>
          <w:szCs w:val="32"/>
        </w:rPr>
        <w:t>河道采砂规划应当包括禁采区、禁采期、采掘方式和采砂总量等内容。</w:t>
      </w:r>
    </w:p>
    <w:p w14:paraId="55B8E0AF">
      <w:pPr>
        <w:ind w:firstLine="632" w:firstLineChars="200"/>
        <w:rPr>
          <w:rFonts w:ascii="Times New Roman" w:hAnsi="Times New Roman" w:cs="仿宋_GB2312"/>
          <w:sz w:val="32"/>
          <w:szCs w:val="32"/>
        </w:rPr>
      </w:pPr>
      <w:r>
        <w:rPr>
          <w:rFonts w:hint="eastAsia" w:ascii="Times New Roman" w:hAnsi="Times New Roman" w:cs="仿宋_GB2312"/>
          <w:sz w:val="32"/>
          <w:szCs w:val="32"/>
        </w:rPr>
        <w:t>因重点工程建设需要规划外采砂的，应当将临时采砂区域范围、采砂数量，报自治旗人民政府批准后实施。</w:t>
      </w:r>
    </w:p>
    <w:p w14:paraId="3760C2B6">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在河道管理范围内采砂的单位或者个人，应当依法向自治旗人民政府水行政主管部门申请取得河道采砂许可证，并按照规定范围和要求采砂。</w:t>
      </w:r>
    </w:p>
    <w:p w14:paraId="1FF687F7">
      <w:pPr>
        <w:ind w:firstLine="632" w:firstLineChars="200"/>
        <w:rPr>
          <w:rFonts w:ascii="Times New Roman" w:hAnsi="Times New Roman" w:cs="仿宋_GB2312"/>
          <w:sz w:val="32"/>
          <w:szCs w:val="32"/>
        </w:rPr>
      </w:pPr>
      <w:r>
        <w:rPr>
          <w:rFonts w:hint="eastAsia" w:ascii="Times New Roman" w:hAnsi="Times New Roman" w:cs="仿宋_GB2312"/>
          <w:sz w:val="32"/>
          <w:szCs w:val="32"/>
        </w:rPr>
        <w:t>河道采砂许可实行一开采区一证，河道采砂许可证有效期一年。</w:t>
      </w:r>
    </w:p>
    <w:p w14:paraId="6BEBBD48">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禁止伪造、涂改或者以买卖、出租、出借等方式转让河道采砂许可证。</w:t>
      </w:r>
    </w:p>
    <w:p w14:paraId="78D215C4">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因河道清淤、加固堤防取土和按照防洪规划进行河道整治需要占用的土地，由自治旗人民政府调剂解决。</w:t>
      </w:r>
    </w:p>
    <w:p w14:paraId="62C97285">
      <w:pPr>
        <w:ind w:firstLine="632" w:firstLineChars="200"/>
        <w:rPr>
          <w:rFonts w:ascii="Times New Roman" w:hAnsi="Times New Roman" w:cs="仿宋_GB2312"/>
          <w:sz w:val="32"/>
          <w:szCs w:val="32"/>
        </w:rPr>
      </w:pPr>
      <w:r>
        <w:rPr>
          <w:rFonts w:hint="eastAsia" w:ascii="Times New Roman" w:hAnsi="Times New Roman" w:cs="仿宋_GB2312"/>
          <w:sz w:val="32"/>
          <w:szCs w:val="32"/>
        </w:rPr>
        <w:t>因堤防建设、河道治理、岸线调整等所增加的可利用土地属于国家所有，自治旗人民政府可以优先用于河道设施建设及保护管理。</w:t>
      </w:r>
    </w:p>
    <w:p w14:paraId="6E06DA78">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护堤护岸林木，由自治旗人民政府水行政主管部门组织营造和管理，其他任何单位和个人不得侵占、砍伐或者破坏。</w:t>
      </w:r>
    </w:p>
    <w:p w14:paraId="7D5FAB7C">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利用堤防兼做公路的，堤顶和堤身的管理和维护由自治旗人民政府水行政主管部门负责。</w:t>
      </w:r>
    </w:p>
    <w:p w14:paraId="271D84A4">
      <w:pPr>
        <w:ind w:firstLine="632" w:firstLineChars="200"/>
        <w:rPr>
          <w:rFonts w:ascii="Times New Roman" w:hAnsi="Times New Roman" w:cs="仿宋_GB2312"/>
          <w:sz w:val="32"/>
          <w:szCs w:val="32"/>
        </w:rPr>
      </w:pPr>
      <w:r>
        <w:rPr>
          <w:rFonts w:hint="eastAsia" w:ascii="Times New Roman" w:hAnsi="Times New Roman" w:cs="仿宋_GB2312"/>
          <w:sz w:val="32"/>
          <w:szCs w:val="32"/>
        </w:rPr>
        <w:t>河道故道、旧堤、原有工程设施等未经自治旗水行政主管部门批准，不得占用或者拆毁。</w:t>
      </w:r>
    </w:p>
    <w:p w14:paraId="6FC1D27F">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对河道管理范围内的原有居民和违法建筑物、构筑物或者其他障碍物以及历史遗留砂坑，由自治旗人民政府按以下规定处置：</w:t>
      </w:r>
    </w:p>
    <w:p w14:paraId="275848A3">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（一）对原有居民，由乡镇人民政府调查登记造册后提出搬迁名录，自治旗人民政府制定搬迁计划迁出。</w:t>
      </w:r>
    </w:p>
    <w:p w14:paraId="320BAACE">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违法建筑物、构筑物和其他障碍物，按照谁设障、谁清障的原则，由自治旗人民政府水行政主管部门提出清障计划和实施方案，由自治旗人民政府防汛抗旱指挥部责令设障者在规定的期限内清除。逾期不清除的，由自治旗人民政府组织相关部门实施清除，所需费用由设障者承担。</w:t>
      </w:r>
    </w:p>
    <w:p w14:paraId="45E4D0D0">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（三）对历史遗留砂坑形成的采空区、危险区，由自治旗人民政府负责组织治理修复。</w:t>
      </w:r>
    </w:p>
    <w:p w14:paraId="12F43BBD">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违反本条例第十二条第一项、第七项规定的，由自治旗人民政府水行政主管部门责令其停止违法行为，限期恢复原状或者采取其他补救措施，并处1万元以上5万元以下罚款，其中，违反第七项规定在堤防和护堤地放牧、晒粮的，并处1000元以上3000元以下罚款；造成损失的，依法承担赔偿责任；违反治安管理处罚法的，由公安机关给予治安管理处罚；构成犯罪的，依法追究刑事责任。</w:t>
      </w:r>
    </w:p>
    <w:p w14:paraId="3C36DF0B">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违反本条例第十二条第二项规定的，由自治旗人民政府水行政主管部门责令停止违法行为，限期拆除违法建筑物、构筑物，恢复原状，并处2万元以上10万元以下罚款；逾期不拆除、不恢复原状的，强行拆除，所需费用由违法单位和个人承担。</w:t>
      </w:r>
    </w:p>
    <w:p w14:paraId="57801A55">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违反本条例第十二条第三项、第四项、第五项规定的，由自治旗人民政府水行政主管部门责令停止违法行为，限期清除障碍或者采取其他补救措施，并处1万元以上5万元以下罚款。</w:t>
      </w:r>
    </w:p>
    <w:p w14:paraId="59B36AE7">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违反本条例第十二条第六项规定的，依照水污染防治法的有关规定处罚。</w:t>
      </w:r>
    </w:p>
    <w:p w14:paraId="711840BA">
      <w:pPr>
        <w:ind w:firstLine="632" w:firstLineChars="200"/>
        <w:rPr>
          <w:rFonts w:ascii="Times New Roman" w:hAnsi="Times New Roman" w:cs="仿宋_GB2312"/>
          <w:sz w:val="32"/>
          <w:szCs w:val="32"/>
        </w:rPr>
      </w:pPr>
      <w:bookmarkStart w:id="24" w:name="第二十三条"/>
      <w:bookmarkEnd w:id="24"/>
      <w:r>
        <w:rPr>
          <w:rFonts w:hint="eastAsia" w:ascii="Times New Roman" w:hAnsi="Times New Roman" w:eastAsia="黑体" w:cs="黑体"/>
          <w:sz w:val="32"/>
          <w:szCs w:val="32"/>
        </w:rPr>
        <w:t>第二十三条</w:t>
      </w:r>
      <w:r>
        <w:rPr>
          <w:rFonts w:hint="eastAsia" w:ascii="Times New Roman" w:hAnsi="Times New Roman" w:cs="仿宋_GB2312"/>
          <w:sz w:val="32"/>
          <w:szCs w:val="32"/>
        </w:rPr>
        <w:t>　违反本条例第十二条第八项规定的，由自治旗人民政府水行政主管部门责令停止违法行为，恢复原状，并处200元以上2000元以下罚款；造成损失的，依法承担赔偿责任。</w:t>
      </w:r>
    </w:p>
    <w:p w14:paraId="3C5873CA">
      <w:pPr>
        <w:ind w:firstLine="632" w:firstLineChars="200"/>
        <w:rPr>
          <w:rFonts w:ascii="Times New Roman" w:hAnsi="Times New Roman" w:cs="仿宋_GB2312"/>
          <w:sz w:val="32"/>
          <w:szCs w:val="32"/>
        </w:rPr>
      </w:pPr>
      <w:bookmarkStart w:id="25" w:name="第二十四条"/>
      <w:bookmarkEnd w:id="25"/>
      <w:r>
        <w:rPr>
          <w:rFonts w:hint="eastAsia" w:ascii="Times New Roman" w:hAnsi="Times New Roman" w:eastAsia="黑体" w:cs="黑体"/>
          <w:sz w:val="32"/>
          <w:szCs w:val="32"/>
        </w:rPr>
        <w:t>第二十四条</w:t>
      </w:r>
      <w:r>
        <w:rPr>
          <w:rFonts w:hint="eastAsia" w:ascii="Times New Roman" w:hAnsi="Times New Roman" w:cs="仿宋_GB2312"/>
          <w:sz w:val="32"/>
          <w:szCs w:val="32"/>
        </w:rPr>
        <w:t>　违反本条例第十三条第一项、第二项、第三项规定的，由自治旗人民政府水行政主管部门责令停止违法行为，限期恢复原状，并处1万元以上5万元以下罚款；违反第四项、第五项规定的，分别依照水法第六十五条第二款、第六十七条第二款的规定处罚。</w:t>
      </w:r>
    </w:p>
    <w:p w14:paraId="6D81D868">
      <w:pPr>
        <w:ind w:firstLine="632" w:firstLineChars="200"/>
        <w:rPr>
          <w:rFonts w:ascii="Times New Roman" w:hAnsi="Times New Roman" w:cs="仿宋_GB2312"/>
          <w:sz w:val="32"/>
          <w:szCs w:val="32"/>
        </w:rPr>
      </w:pPr>
      <w:bookmarkStart w:id="26" w:name="第二十五条"/>
      <w:bookmarkEnd w:id="26"/>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违反本条例第十五条规定的，由自治旗人民政府水行政主管部门责令停止违法行为，依照有关法律、法规的规定予以处罚。</w:t>
      </w:r>
    </w:p>
    <w:p w14:paraId="491067BD">
      <w:pPr>
        <w:ind w:firstLine="632" w:firstLineChars="200"/>
        <w:rPr>
          <w:rFonts w:ascii="Times New Roman" w:hAnsi="Times New Roman" w:cs="仿宋_GB2312"/>
          <w:sz w:val="32"/>
          <w:szCs w:val="32"/>
        </w:rPr>
      </w:pPr>
      <w:bookmarkStart w:id="27" w:name="第二十六条"/>
      <w:bookmarkEnd w:id="27"/>
      <w:r>
        <w:rPr>
          <w:rFonts w:hint="eastAsia" w:ascii="Times New Roman" w:hAnsi="Times New Roman" w:eastAsia="黑体" w:cs="黑体"/>
          <w:sz w:val="32"/>
          <w:szCs w:val="32"/>
        </w:rPr>
        <w:t>第二十六条</w:t>
      </w:r>
      <w:r>
        <w:rPr>
          <w:rFonts w:hint="eastAsia" w:ascii="Times New Roman" w:hAnsi="Times New Roman" w:cs="仿宋_GB2312"/>
          <w:sz w:val="32"/>
          <w:szCs w:val="32"/>
        </w:rPr>
        <w:t>　违反本条例规定，阻碍、威胁水行政主管部门工作人员依法执行公务，应当给予治安管理处罚的，依照治安管理处罚法的规定处罚；构成犯罪的，依法追究刑事责任。</w:t>
      </w:r>
    </w:p>
    <w:p w14:paraId="1A96D412">
      <w:pPr>
        <w:ind w:firstLine="632" w:firstLineChars="200"/>
        <w:rPr>
          <w:rFonts w:ascii="Times New Roman" w:hAnsi="Times New Roman" w:cs="仿宋_GB2312"/>
          <w:sz w:val="32"/>
          <w:szCs w:val="32"/>
        </w:rPr>
      </w:pPr>
      <w:bookmarkStart w:id="28" w:name="第二十七条"/>
      <w:bookmarkEnd w:id="28"/>
      <w:r>
        <w:rPr>
          <w:rFonts w:hint="eastAsia" w:ascii="Times New Roman" w:hAnsi="Times New Roman" w:eastAsia="黑体" w:cs="黑体"/>
          <w:sz w:val="32"/>
          <w:szCs w:val="32"/>
        </w:rPr>
        <w:t>第二十七条</w:t>
      </w:r>
      <w:r>
        <w:rPr>
          <w:rFonts w:hint="eastAsia" w:ascii="Times New Roman" w:hAnsi="Times New Roman" w:cs="仿宋_GB2312"/>
          <w:sz w:val="32"/>
          <w:szCs w:val="32"/>
        </w:rPr>
        <w:t>　在河道保护与管理工作中玩忽职守、滥用职权、徇私舞弊的，对直接负责的主管人员和其他直接责任人员依法给予处分；构成犯罪的，依法追究刑事责任。</w:t>
      </w:r>
    </w:p>
    <w:p w14:paraId="3608CD82">
      <w:pPr>
        <w:ind w:firstLine="632" w:firstLineChars="200"/>
        <w:rPr>
          <w:rFonts w:ascii="Times New Roman" w:hAnsi="Times New Roman" w:cs="仿宋_GB2312"/>
          <w:sz w:val="32"/>
          <w:szCs w:val="32"/>
        </w:rPr>
      </w:pPr>
      <w:bookmarkStart w:id="29" w:name="第二十八条"/>
      <w:bookmarkEnd w:id="29"/>
      <w:r>
        <w:rPr>
          <w:rFonts w:hint="eastAsia" w:ascii="Times New Roman" w:hAnsi="Times New Roman" w:eastAsia="黑体" w:cs="黑体"/>
          <w:sz w:val="32"/>
          <w:szCs w:val="32"/>
        </w:rPr>
        <w:t>第二十八条</w:t>
      </w:r>
      <w:r>
        <w:rPr>
          <w:rFonts w:hint="eastAsia" w:ascii="Times New Roman" w:hAnsi="Times New Roman" w:cs="仿宋_GB2312"/>
          <w:sz w:val="32"/>
          <w:szCs w:val="32"/>
        </w:rPr>
        <w:t>　本条例自2020年9月1日起施行。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06D15DD"/>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4027</Words>
  <Characters>4058</Characters>
  <Lines>87</Lines>
  <Paragraphs>24</Paragraphs>
  <TotalTime>3</TotalTime>
  <ScaleCrop>false</ScaleCrop>
  <LinksUpToDate>false</LinksUpToDate>
  <CharactersWithSpaces>4089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2025-07-04T08:51:15Z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2052-12.1.0.21541</vt:lpwstr>
  </property>
  <property fmtid="{D5CDD505-2E9C-101B-9397-08002B2CF9AE}" pid="4" name="KSOTemplateDocerSaveRecord">
    <vt:lpwstr>eyJoZGlkIjoiYjIxNGNjZTJlZjgyZmVhMDdiNGEyY2U0Yzg0MGFkMzMiLCJ1c2VySWQiOiI4NDE5MTMxMjMifQ==</vt:lpwstr>
  </property>
</Properties>
</file>