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木垒哈萨克自治县立法条例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日木垒哈萨克自治县第十八届人民代表大会第四次会议通过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日新疆维吾尔自治区第十四届人民代表大会常务委员会第九次会议批准）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自治县立法活动，健全立法制度，完善立法程序，提高立法质量和效率，保障和发展社会主义民主，根据《中华人民共和国立法法》《新疆维吾尔自治区人民代表大会及其常务委员会立法条例》等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本条例适用于自治县自治条例、单行条例的制定、修改和废止及相关立法活动。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自治县立法坚持中国共产党的领导，应当符合宪法的规定、原则和精神，遵循立法法确立的指导思想，不得与宪法、法律、行政法规和自治区的法规相抵触，维护社会主义法制的统一、尊严和权威。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自治县立法应当从实际出发，突出地方和民族特点；内容应当明确、具体，具有针对性和可执行性。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自治县人民代表大会有权依照本县民族的政治、经济和文化特点，就下列重大事项制定自治条例和单行条例（以下统称条例）：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（一）依法行使民族自治地方自治权的重大事项；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（二）根据国家给予民族地区的各项优惠扶持政策，制定自治县经济发展、城乡建设、基层治理等措施；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（三）立足自治县特点和发展定位，制定加强生态环境保护、节约和循环利用资源等推进生态文明建设等措施；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（四）保护和传承中华优秀传统文化等事项；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（五）维护民族团结，促进各民族交往交流交融等事项；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（六）依法有权规定的其他事项。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自治县人民代表大会及其常务委员会应当在立法工作中发挥主导作用，加强对立法工作的组织协调，建立健全立法工作机制。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代表大会常务委员会（以下简称人大常委会）通过编制立法规划、年度立法计划等形式，加强对立法工作的统筹安排。立法规划应当于自治县人民代表大会换届后六个月内完成编制；年度立法计划应当于自治县人民代表大会会议后一个月内完成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编制立法规划和年度立法计划，应当认真研究人大代表议案和建议，广泛征集意见，科学论证评估，根据自治县经济社会发展、民主法治建设和上位法变动情况的需要，确定立法项目，增强立法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国家机关、人民团体、社会组织、企业事业单位和公民可以向人大常委会提出立法项目建议。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人大常委会法制工作机构应当会同有关的专门委员会、人大常委会工作机构、自治县人民政府司法行政部门，以及其他有关机关、部门和组织，对立法项目建议进行研究后，提出立法规划草案和年度立法计划草案，提请人大常委会会议审议通过，按程序报请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立法规划草案和年度立法计划草案通过前，应当征求自治区人民代表大会常务委员会法制工作机构的意见。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立法规划和年度立法计划由人大常委会法制工作机构组织实施。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立法规划、年度立法计划项目确需调整的，由人大常委会法制工作机构提出意见，提请主任会议决定。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自治条例草案由人大常委会组织起草。单行条例草案一般由专门委员会、人大常委会工作机构、政府部门按照各自职责组织起草。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主任会议认为应当由专门委员会、人大常委会工作机构组织起草的条例，由有关的专门委员会、人大常委会有关工作机构组织起草。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起草部门（机构）未能按照计划完成条例草案起草的，应当向主任会议报告原因和有关情况。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起草条例草案，可以成立由有关的专门委员会、人大常委会有关工作机构、政府有关部门等参加的起草工作领导小组，落实领导和工作人员责任，研究解决起草中的重大问题。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起草专业性较强的单行条例草案，可以吸收有关领域的专家参与起草工作，或者委托有关专家、教学科研单位、社会组织等起草。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由政府有关部门牵头起草的单行条例草案，有关的专门委员会、人大常委会法制工作机构应当提前介入条例的起草、调查研究、论证等工作，了解掌握工作进度，及时提出意见建议，督促起草部门按计划完成起草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自治县人民政府有关部门起草的单行条例草案形成后，交由自治县人民政府司法行政部门审核，再由起草部门报政府常务会议审议后，依照法定程序提请人大常委会审议。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起草条例草案，应当深入调查研究，总结实践经验，广泛听取有关机关、组织和公民的意见，对条例案规范的主要问题和涉及到的专业技术问题应当进行论证。条例案有关问题存在重大意见分歧或者涉及利益关系重大调整的，还应当采取召开座谈会、论证会、听证会等形式，征求人大代表、政协委员、政府有关部门、基层单位、管理相对人、法律和有关领域专家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自治县人民代表大会主席团可以向自治县人民代表大会提出自治条例案、单行条例案，由自治县人民代表大会会议审议。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自治县人民代表大会常务委员会、自治县人民政府、自治县人民代表大会各专门委员会，可以向自治县人民代表大会提出单行条例案，由主席团决定列入会议议程。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代表十人以上联名，可以向自治县人民代表大会提出单行条例案，由主席团决定是否列入会议议程，或者先交有关的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向自治县人民代表大会提出的条例案，在大会闭会期间，可以先向人大常委会提出，由人大常委会依照本条例有关规定进行审议。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提请自治县人民代表大会及其常务委员会审议的条例案，应当附条例草案文本及其说明，并提供必要的参阅材料。修改条例的，还应当提交修改前后的对照文本。条例草案的说明应当包括制定或者修改条例的必要性、可行性和主要内容，涉及合法性问题的相关意见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列入人大常委会会议议程的条例案，除特殊情况外，应当在会议举行的七日前将条例草案及其说明发给人大常委会组成人员。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人大常委会会议审议条例案时，应当邀请自治县人民代表大会代表、部门负责人列席会议，可以邀请公民旁听会议。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列入人大常委会会议议程的自治条例案，应当至少经两次人大常委会会议审议后，再决定提请自治县人民代表大会审议。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人大常委会会议议程的单行条例案，一般经两次人大常委会会议审议后，再决定提请自治县人民代表大会审议。对于调整事项较为单一或者只作部分修改，各方面意见比较一致的，经主任会议决定，可以经一次人大常委会会议审议后即决定提请自治县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对于各方面意见分歧较大或者主要问题认识不一致的条例案，也可以经三次以上人大常委会会议审议后，再提请自治县人民代表大会审议。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人大常委会会议审议条例案，主要审议条例草案是否同宪法、法律、行政法规和自治区的法规相抵触，是否符合本县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列入人大常委会会议议程的条例案，法制委员会和人大常委会法制工作机构应当听取各方面的意见。听取意见可以采取座谈会、论证会、听证会等形式。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条例案有关问题专业性较强，需要进行可行性评价的，应当召开论证会，听取有关专家、政府有关部门、人大代表、政协委员等方面的意见。论证情况应当向人大常委会报告。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案有关问题存在利益关系重大调整，或者存在重大意见分歧，需要进行听证的，应当召开听证会，听取有关基层和群体代表、政府有关部门、人民团体、专家、人大代表、政协委员等方面的意见。听证情况应当向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人大常委会会议议程的条例案，应当在人大常委会会议后将条例草案及其起草说明向社会公布，征求意见。征求意见时间一般不少于三十日；条例草案及其说明应当及时发给有关国家机关、政府有关部门、人民团体、基层立法联系点以及人大代表、政协委员、有关领域专家等征求意见。征求意见时间一般不少于十日。征求意见的采纳情况以适当形式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人大常委会决定提请自治县人民代表大会会议审议的条例案，应当在会议举行的二个月前报送自治区人民代表大会常务委员会法制工作机构征询意见。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人大常委会决定提请自治县人民代表大会会议审议的条例案，一般在会议举行的三十日前将条例草案及其说明发给人大代表，并可以适时组织人大代表研读讨论，征求人大代表的意见。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列入自治县人民代表大会会议议程的条例案，大会全体会议听取相应条例案的说明后，由各代表团、有关的专门委员会进行审议。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各代表团审议条例案时，提案人应当派人听取意见，回答询问；有关机关、组织应当根据代表团的要求派人介绍情况。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法制委员会根据各代表团的审议意见和其他方面的意见，对条例草案进行统一审议和修改，并向主席团提出审议结果报告和条例草案表决稿，对涉及的合法性问题以及重要的不同意见应当在审议结果报告中予以说明，经主席团会议审议通过后，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自治县人民代表大会通过的条例，应当自通过之日起三十日内，报请自治区人民代表大会常务委员会批准。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报请批准时，应当按照格式和数量要求提交报请批准条例的书面报告，并附条例文本及其说明、审议结果报告和其他有关资料。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报请批准的条例，在自治区人民代表大会常务委员会批准前，如有特殊原因需要撤回的，由主任会议提请人大常委会会议审议决定。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自治区人民代表大会常务委员会同意撤回或者不予批准的条例，提案人认为必须制定的，可以按照本条例规定的程序重新提出。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条例报经批准后，由人大常委会及时发布公告予以公布。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条例公布后，其文本以及草案的说明、审议结果的报告等，应当及时在人大常委会公报、自治县人民政府网站以及《昌吉日报》上刊载。在人大常委会公报上刊登的条例文本为标准文本。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单行条例的名称一般称</w:t>
      </w:r>
      <w:r>
        <w:rPr>
          <w:rFonts w:hint="eastAsia" w:ascii="仿宋_GB2312" w:hAnsi="仿宋_GB2312" w:eastAsia="仿宋_GB2312"/>
          <w:sz w:val="32"/>
          <w:lang w:eastAsia="zh-CN"/>
        </w:rPr>
        <w:t>“</w:t>
      </w:r>
      <w:r>
        <w:rPr>
          <w:rFonts w:ascii="仿宋_GB2312" w:hAnsi="仿宋_GB2312" w:eastAsia="仿宋_GB2312"/>
          <w:sz w:val="32"/>
        </w:rPr>
        <w:t>条例</w:t>
      </w:r>
      <w:r>
        <w:rPr>
          <w:rFonts w:hint="eastAsia" w:ascii="仿宋_GB2312" w:hAnsi="仿宋_GB2312" w:eastAsia="仿宋_GB2312"/>
          <w:sz w:val="32"/>
          <w:lang w:eastAsia="zh-CN"/>
        </w:rPr>
        <w:t>”</w:t>
      </w:r>
      <w:r>
        <w:rPr>
          <w:rFonts w:ascii="仿宋_GB2312" w:hAnsi="仿宋_GB2312" w:eastAsia="仿宋_GB2312"/>
          <w:sz w:val="32"/>
        </w:rPr>
        <w:t>，也可以称</w:t>
      </w:r>
      <w:r>
        <w:rPr>
          <w:rFonts w:hint="eastAsia" w:ascii="仿宋_GB2312" w:hAnsi="仿宋_GB2312" w:eastAsia="仿宋_GB2312"/>
          <w:sz w:val="32"/>
          <w:lang w:eastAsia="zh-CN"/>
        </w:rPr>
        <w:t>“</w:t>
      </w:r>
      <w:r>
        <w:rPr>
          <w:rFonts w:ascii="仿宋_GB2312" w:hAnsi="仿宋_GB2312" w:eastAsia="仿宋_GB2312"/>
          <w:sz w:val="32"/>
        </w:rPr>
        <w:t>规定</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规则</w:t>
      </w:r>
      <w:r>
        <w:rPr>
          <w:rFonts w:hint="eastAsia" w:ascii="仿宋_GB2312" w:hAnsi="仿宋_GB2312" w:eastAsia="仿宋_GB2312"/>
          <w:sz w:val="32"/>
          <w:lang w:eastAsia="zh-CN"/>
        </w:rPr>
        <w:t>”</w:t>
      </w:r>
      <w:r>
        <w:rPr>
          <w:rFonts w:ascii="仿宋_GB2312" w:hAnsi="仿宋_GB2312" w:eastAsia="仿宋_GB2312"/>
          <w:sz w:val="32"/>
        </w:rPr>
        <w:t>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条例标题的题注应当载明制定机关、通过日期、批准机关和批准日期。经过修改的条例，应当依次载明修改机关、修改日期、批准机关和批准日期。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条例应当明确规定施行日期；除必须立即实施的外，条例从公布到施行的时间不少于三十日。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条例的修改和废止程序，适用本条例第三章的有关规定。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条例被修改的，应当公布新的条例文本。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条例被废止的，除由其他的条例规定废止该条例的以外，由人大常委会予以公布。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人大常委会工作机构加强立法宣传工作，通过多种形式发布立法信息、介绍情况、回应关切。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自治县人民政府及其有关部门和乡镇人民政府应当宣传条例，使社会公众了解条例的内容，推动条例的贯彻实施。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人大常委会应当检查监督条例实施情况。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条例施行一年后，自治县人民政府以及主要负责执行的部门，应当按照人大常委会的工作安排报告条例实施情况。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有关的专门委员会、人大常委会工作机构可以组织对有关条例或者条例中有关规定进行立法后评估。评估情况应当向人大常委会报告。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人大常委会法制工作机构应当组织对条例进行定期清理，发现条例内容同法律、行政法规、自治区的法规相抵触，与自治县其他条例不协调，或者与现实情况不适应的，应当提出修改或者废止的意见和建议。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修改或者废止条例的意见和建议，由人大常委会法制工作机构组织研究论证，确需修改或者废止的，提请主任会议决定，列入年度立法计划。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人大常委会应当建立立法专家顾问制度、立法协商制度和基层立法联系点制度，健全立法咨询、协商、征求意见机制，推进科学立法、民主立法、依法立法，提高立法质量。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344AC"/>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33594E"/>
    <w:rsid w:val="16DC7373"/>
    <w:rsid w:val="176F4EEF"/>
    <w:rsid w:val="2BA56CDA"/>
    <w:rsid w:val="344634A2"/>
    <w:rsid w:val="3DE63740"/>
    <w:rsid w:val="481351D2"/>
    <w:rsid w:val="52A83CA0"/>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4648</Words>
  <Characters>4659</Characters>
  <Lines>0</Lines>
  <Paragraphs>0</Paragraphs>
  <TotalTime>4</TotalTime>
  <ScaleCrop>false</ScaleCrop>
  <LinksUpToDate>false</LinksUpToDate>
  <CharactersWithSpaces>4729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2024-05-23T05:42:34Z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