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呼和浩特市人民代表大会常务委员会</w:t>
      </w:r>
    </w:p>
    <w:p>
      <w:pPr>
        <w:jc w:val="center"/>
      </w:pPr>
      <w:r>
        <w:rPr>
          <w:rFonts w:ascii="宋体" w:hAnsi="宋体" w:eastAsia="宋体"/>
          <w:sz w:val="44"/>
        </w:rPr>
        <w:t>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1991</w:t>
      </w:r>
      <w:r>
        <w:rPr>
          <w:rFonts w:ascii="Times New Roman" w:hAnsi="Times New Roman" w:eastAsia="楷体_GB2312"/>
          <w:sz w:val="32"/>
        </w:rPr>
        <w:t>年</w:t>
      </w:r>
      <w:r>
        <w:rPr>
          <w:rFonts w:hint="default" w:ascii="Times New Roman" w:hAnsi="Times New Roman" w:eastAsia="楷体_GB2312" w:cs="Times New Roman"/>
          <w:sz w:val="32"/>
        </w:rPr>
        <w:t>6</w:t>
      </w:r>
      <w:r>
        <w:rPr>
          <w:rFonts w:ascii="Times New Roman" w:hAnsi="Times New Roman" w:eastAsia="楷体_GB2312"/>
          <w:sz w:val="32"/>
        </w:rPr>
        <w:t>月</w:t>
      </w:r>
      <w:r>
        <w:rPr>
          <w:rFonts w:hint="default" w:ascii="Times New Roman" w:hAnsi="Times New Roman" w:eastAsia="楷体_GB2312" w:cs="Times New Roman"/>
          <w:sz w:val="32"/>
        </w:rPr>
        <w:t>1</w:t>
      </w:r>
      <w:r>
        <w:rPr>
          <w:rFonts w:ascii="Times New Roman" w:hAnsi="Times New Roman" w:eastAsia="楷体_GB2312"/>
          <w:sz w:val="32"/>
        </w:rPr>
        <w:t>日呼和浩特市第九届人民代表大会常务委员会第十三次会议通过　</w:t>
      </w:r>
      <w:r>
        <w:rPr>
          <w:rFonts w:hint="default" w:ascii="Times New Roman" w:hAnsi="Times New Roman" w:eastAsia="楷体_GB2312" w:cs="Times New Roman"/>
          <w:sz w:val="32"/>
        </w:rPr>
        <w:t>1991</w:t>
      </w:r>
      <w:r>
        <w:rPr>
          <w:rFonts w:ascii="Times New Roman" w:hAnsi="Times New Roman" w:eastAsia="楷体_GB2312"/>
          <w:sz w:val="32"/>
        </w:rPr>
        <w:t>年</w:t>
      </w:r>
      <w:r>
        <w:rPr>
          <w:rFonts w:hint="default" w:ascii="Times New Roman" w:hAnsi="Times New Roman" w:eastAsia="楷体_GB2312" w:cs="Times New Roman"/>
          <w:sz w:val="32"/>
        </w:rPr>
        <w:t>10</w:t>
      </w:r>
      <w:r>
        <w:rPr>
          <w:rFonts w:ascii="Times New Roman" w:hAnsi="Times New Roman" w:eastAsia="楷体_GB2312"/>
          <w:sz w:val="32"/>
        </w:rPr>
        <w:t>月</w:t>
      </w:r>
      <w:r>
        <w:rPr>
          <w:rFonts w:hint="default" w:ascii="Times New Roman" w:hAnsi="Times New Roman" w:eastAsia="楷体_GB2312" w:cs="Times New Roman"/>
          <w:sz w:val="32"/>
        </w:rPr>
        <w:t>31</w:t>
      </w:r>
      <w:r>
        <w:rPr>
          <w:rFonts w:ascii="Times New Roman" w:hAnsi="Times New Roman" w:eastAsia="楷体_GB2312"/>
          <w:sz w:val="32"/>
        </w:rPr>
        <w:t>日内蒙古自治区第七届人民代表大会常务委员会第二十三次会议批准　根据</w:t>
      </w:r>
      <w:r>
        <w:rPr>
          <w:rFonts w:hint="default" w:ascii="Times New Roman" w:hAnsi="Times New Roman" w:eastAsia="楷体_GB2312" w:cs="Times New Roman"/>
          <w:sz w:val="32"/>
        </w:rPr>
        <w:t>2010</w:t>
      </w:r>
      <w:r>
        <w:rPr>
          <w:rFonts w:ascii="Times New Roman" w:hAnsi="Times New Roman" w:eastAsia="楷体_GB2312"/>
          <w:sz w:val="32"/>
        </w:rPr>
        <w:t>年</w:t>
      </w:r>
      <w:r>
        <w:rPr>
          <w:rFonts w:hint="default" w:ascii="Times New Roman" w:hAnsi="Times New Roman" w:eastAsia="楷体_GB2312" w:cs="Times New Roman"/>
          <w:sz w:val="32"/>
        </w:rPr>
        <w:t>12</w:t>
      </w:r>
      <w:r>
        <w:rPr>
          <w:rFonts w:ascii="Times New Roman" w:hAnsi="Times New Roman" w:eastAsia="楷体_GB2312"/>
          <w:sz w:val="32"/>
        </w:rPr>
        <w:t>月</w:t>
      </w:r>
      <w:r>
        <w:rPr>
          <w:rFonts w:hint="eastAsia" w:ascii="Times New Roman" w:hAnsi="Times New Roman" w:eastAsia="楷体_GB2312"/>
          <w:sz w:val="32"/>
          <w:lang w:val="en-US" w:eastAsia="zh-CN"/>
        </w:rPr>
        <w:t>2</w:t>
      </w:r>
      <w:bookmarkStart w:id="0" w:name="_GoBack"/>
      <w:bookmarkEnd w:id="0"/>
      <w:r>
        <w:rPr>
          <w:rFonts w:ascii="Times New Roman" w:hAnsi="Times New Roman" w:eastAsia="楷体_GB2312"/>
          <w:sz w:val="32"/>
        </w:rPr>
        <w:t>日内蒙古自治区第十一届人民代表大会常务委员会第十九次会议关于批准《呼和浩特市人民代表大会常务委员会关于修改部分地方性法规的决定（二）》的决议第一次修正　根据</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26</w:t>
      </w:r>
      <w:r>
        <w:rPr>
          <w:rFonts w:ascii="Times New Roman" w:hAnsi="Times New Roman" w:eastAsia="楷体_GB2312"/>
          <w:sz w:val="32"/>
        </w:rPr>
        <w:t>日内蒙古自治区第十四届人民代表大会常务委员会第九次会议关于批准《呼和浩特市人民代表大会常务委员会关于修改〈呼和浩特市人民代表大会常务委员会议事规则〉等</w:t>
      </w:r>
      <w:r>
        <w:rPr>
          <w:rFonts w:hint="default" w:ascii="Times New Roman" w:hAnsi="Times New Roman" w:eastAsia="楷体_GB2312" w:cs="Times New Roman"/>
          <w:sz w:val="32"/>
        </w:rPr>
        <w:t>3</w:t>
      </w:r>
      <w:r>
        <w:rPr>
          <w:rFonts w:ascii="Times New Roman" w:hAnsi="Times New Roman" w:eastAsia="楷体_GB2312"/>
          <w:sz w:val="32"/>
        </w:rPr>
        <w:t>件地方性法规的决定》的决议第二次修正）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使呼和浩特市人民代表大会常务委员会议事制度化、规范化，更好地行使法律赋予的职权，根据《中华人民共和国宪法》《中华人民共和国地方各级人民代表大会和地方各级人民政府组织法》的有关规定，结合市人民代表大会常务委员会的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常务委员会应当坚持中国共产党的领导，以铸牢中华民族共同体意识为工作主线，依照法定职权和法定程序举行会议、开展工作。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常务委员会审议议案、决定问题，要实行民主集中制的原则；要调查研究，实事求是，充分发扬民主，严格依法办事，做到决策民主化、科学化。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常务委员会应当坚持和发展全过程人民民主，始终同人民保持密切联系，倾听人民的意见和建议，体现人民意志，保障人民权益。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常务委员会会议每两个月至少举行一次，必要时可以加开会议；有特殊需要的时候，可以临时召集会议。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常务委员会会议召开的日期由主任会议决定。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常务委员会举行会议时，常务委员会组成人员应当出席会议。因病或者其他特殊原因不能出席的，通过常务委员会办公室向常务委员会主任书面请假。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常务委员会办公室应当向常务委员会主任报告常务委员会组成人员出席会议的情况和缺席的原因。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常务委员会会议议程草案、举行会议的时间，由主任会议拟定，并在常务委员会举行会议的二十五日前，通知常务委员会组成人员和市人民政府、市监察委员会、市中级人民法院、市人民检察院做好准备工作。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常务委员会会议议程须经全体会议通过。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常务委员会举行会议，应当在会议举行七日前，将开会日期、议程草案通知常务委员会组成人员和列席会议的人员。临时召集的常务委员会会议，可以临时通知。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常务委员会举行会议时，不是组成人员的专门委员会主任委员、副主任委员、有关专门委员会委员，常务委员会副秘书长，工作委员会主任、副主任，旗、县、区人民代表大会常务委员会主任或者副主任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市人民政府市长或者副市长，市监察委员会、市中级人民法院、市人民检察院的负责人列席会议。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根据会议议程，市人民政府秘书长或者副秘书长和有关部门负责人，可以列席会议。经主任会议决定，可以邀请在本市的全国、自治区人民代表大会代表和市人民代表大会代表，列席会议。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常务委员会举行会议时，召开全体会议，并召开分组会议或者联组会议。召开联组会议由主任会议根据需要决定。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常务委员会分组会议由主任会议确定若干名会议召集人，轮流主持会议。分组会议审议过程中有重大意见分歧或者其他重要情况的，召集人应当及时向秘书长报告。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分组名单由常务委员会办公室拟订，报秘书长审定，并定期调整。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常务委员会分组会议审议议案或者有关工作报告时，应当通知有关部门派人到会，听取意见，回答询问。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常务委员会联组会议审议议案或者有关工作报告时，应当通知有关负责人到会，听取意见，回答询问。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常务委员会会议审议议案和工作报告的情况，以会议纪要的形式印发市人民政府、市监察委员会、市中级人民法院、市人民检察院和有关部门；常务委员会组成人员在常务委员会会议上对各方面工作提出的建议、批评和意见，由常务委员会办公室交有关部门办理，有关部门应当及时报告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常务委员会会议公开举行。常务委员会会议会期、议程、日程和会议情况予以公开。必要时，经主任会议决定，可以暂不公开有关议程。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常务委员会会议运用现代信息技术，推进会议文件资料电子化，采用网络视频等方式为常务委员会组成人员和列席人员履职提供便利和服务。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常务委员会主任会议，可以向常务委员会提出属于常务委员会职权范围内的议案，由常务委员会会议审议。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市监察委员会、市中级人民法院、市人民检察院和市人民代表大会各专门委员会，可以向常务委员会提出属于常务委员会职权范围内的议案，由主任会议决定提请常务委员会会议审议，或者先交有关专门委员会审议，提出报告，再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五人以上联名，可以向常务委员会提出属于常务委员会职权范围内的议案，由主任会议决定是否提请常务委员会会议审议，或者先交有关专门委员会或者工作委员会审议，提出报告，再决定是否提请常务委员会会议审议；主任会议决定不提请常务委员会会议审议的议案，可以交常务委员会有关的工作委员会、办公室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在常务委员会会议举行时，常务委员会组成人员一人提出的对议案的修正案，获得常务委员会组成人员四人以上附议的，由主任会议决定是否提请常务委员会会议审议，或者先交有关专门委员会审议，提出报告，再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对列入常务委员会会议议程的议案，提议案机关或者提议案的常务委员会组成人员、有关专门委员会、常务委员会有关工作部门应当提供有关的资料。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提议案机关的负责人或者提议案的常务委员会组成人员，应当在常务委员会会议上对议案作说明或者补充说明。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任免案、撤职案应当附有拟任免、撤职人员的基本情况和任免、撤职理由；必要的时候，有关负责人应当到会回答询问。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常务委员会会议审议任免案时，提请任免的机关应当介绍被任命人员德、能、勤、绩、廉的基本情况和任免理由。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必要的时候，有关负责人应当到会回答询问。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常务委员会主任会议，可以委托专门委员会或者办事机构拟定议案草案，并向常务委员会会议作议案说明。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列入常务委员会会议议程的议案，在交付表决前，提议案机关或者提议案的常务委员会组成人员要求撤回的，经主任会议同意，对该议案的审议即行终止。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常务委员会会议议程的议案，在审议中有重大问题需要进一步研究的，经主任会议提出建议，常务委员会会议同意，可以暂不付表决，交由有关专门委员会进一步审议并提出报告，经主任会议决定是否提请下次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常务委员会交由专门委员会审议的议案，可以向本次常务委员会会议提出审议结果的报告，也可以向下一次或者以后的常务委员会会议提出审议结果的报告。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常务委员会认为必要时，可以组织有关特定问题的调查委员会，并根据调查委员会的报告，作出相应的决议。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在市人民代表大会闭会期间，常务委员会会议听取、审议市人民政府、市监察委员会、市中级人民法院、市人民检察院的专项工作报告，听取国民经济和社会发展、预算执行情况报告，听取决算报告和审计工作报告，听取常务委员会执法检查组提出的执法检查报告，听取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长、主任、院长、检察长分别代表市人民政府、市监察委员会、市中级人民法院、市人民检察院到会作报告；市长、主任、院长、检察长因故不能到会时，可以委托副市长、副主任、副院长、副检察长到会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各委、办、局受市人民政府委托，可以向常务委员会会议作专项工作报告、工作报告。向常务委员会会议所作的专项工作报告、工作报告，须经市人民政府常务会议审定或者市长、副市长签署，由局长、主任到会作报告，局长、主任因故不能到会时，可以委托副局长、副主任到会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常务委员会举行会议前，有关专门委员会根据主任会议的决定，对拟定会议审议的议程进行调查研究，提出报告，印发常务委员会会议。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常务委员会会议认为必要时，可以对专项工作报告、工作报告作出决议、决定，交由有关机关执行，并将执行情况报告常务委员会。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常务委员会主任会议认为必要时，可以决定由有关专门委员会对决议、决定的执行情况进行检查，并提出报告。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询问和质询案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常务委员会围绕关系本市改革发展稳定大局和人民切身利益、社会普遍关注的重大问题，可以召开联组会议进行专题询问。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根据专题询问的议题，市人民政府及有关部门，市监察委员会、市中级人民法院、市人民检察院的负责人应当到会，听取意见，回答询问。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专题询问中提出的意见交由有关机关研究处理，有关机关应当及时向常务委员会提交研究处理情况的报告。必要时，可以由主任会议将研究处理情况的报告提请常务委员会审议，由常务委员会作出决定。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在常务委员会会议期间，常务委员会组成人员五人以上联名，可以向常务委员会书面提出对市人民政府及其所属委、办、局和市监察委员会、市中级人民法院、市人民检察院的质询案。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质询案以口头答复的，应当由受质询机关的负责人到会答复；质询案以书面答复的，由受质询机关负责人签署，由主任会议印发会议或者印发提质询案的常务委员会组成人员。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提质询案的常务委员会组成人员的过半数对受质询机关的答复不满意的，可以提出要求，经主任会议决定，由受质询机关再作答复。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质询案在受质询机关答复前，提质询案的常务委员会组成人员要求撤回的，经主任会议同意，对该质询案的答复即行终止。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常务委员会组成人员和列席人员在常务委员会全体会议上的发言，应围绕议题，简明扼要，每人发言不超过十五分钟。在联组会议上，第一次发言不超过十五分钟，对同一问题第二次发言，一般不超过十分钟。经会议主持人同意，也可以适当延长发言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常务委员会组成人员和列席人员在全体会议和联组会议上发言应当使用国家通用语言。根据需要，可以为使用少数民族语言发言的常务委员会组成人员和列席人员提供必要的翻译服务。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会议记录人员整理发言内容后，经发言人核对签字后，编印会议简报和存档。会议简报可以为纸质版，也可以为电子版。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交付表决的议案，有修正案的，先表决修正案。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常务委员会表决议案，采用无记名方式或者其他方式。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常务委员会表决任免案，采取无记名方式逐人表决，根据情况也可以合并表决。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B47375"/>
    <w:rsid w:val="1BEA0FE8"/>
    <w:rsid w:val="2A4A0F51"/>
    <w:rsid w:val="30A63368"/>
    <w:rsid w:val="344634A2"/>
    <w:rsid w:val="37503F9E"/>
    <w:rsid w:val="38585505"/>
    <w:rsid w:val="3DE63740"/>
    <w:rsid w:val="481351D2"/>
    <w:rsid w:val="53543565"/>
    <w:rsid w:val="558A062C"/>
    <w:rsid w:val="5BA8057D"/>
    <w:rsid w:val="622F12CF"/>
    <w:rsid w:val="653E08AD"/>
    <w:rsid w:val="71B9247E"/>
    <w:rsid w:val="761E2EDE"/>
    <w:rsid w:val="7D8C697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2024-05-10T08:00:00Z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