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7D18BD8">
      <w:pPr>
        <w:rPr>
          <w:rFonts w:ascii="Times New Roman" w:hAnsi="Times New Roman" w:eastAsia="宋体" w:cs="宋体"/>
          <w:szCs w:val="32"/>
        </w:rPr>
      </w:pPr>
    </w:p>
    <w:p w14:paraId="641028F9">
      <w:pPr>
        <w:widowControl/>
        <w:jc w:val="center"/>
        <w:rPr>
          <w:rFonts w:ascii="Times New Roman" w:hAnsi="Times New Roman" w:eastAsia="宋体" w:cs="宋体"/>
          <w:color w:val="333333"/>
          <w:sz w:val="44"/>
          <w:szCs w:val="44"/>
          <w:shd w:val="clear" w:color="auto" w:fill="FFFFFF"/>
        </w:rPr>
      </w:pPr>
      <w:r>
        <w:rPr>
          <w:rFonts w:hint="eastAsia" w:ascii="Times New Roman" w:hAnsi="Times New Roman" w:eastAsia="宋体" w:cs="宋体"/>
          <w:color w:val="333333"/>
          <w:sz w:val="44"/>
          <w:szCs w:val="44"/>
          <w:shd w:val="clear" w:color="auto" w:fill="FFFFFF"/>
        </w:rPr>
        <w:t>金华市婺剧保护传承发展条例</w:t>
      </w:r>
    </w:p>
    <w:p w14:paraId="2A3A4EFC">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（2024年2月2日金华市第八届人民代表大会第四次会议通过　2024年3月29日浙江省第十四届人民代表大会常务委员会第九次会议批准）</w:t>
      </w:r>
    </w:p>
    <w:p w14:paraId="07A8E81E">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052A52E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保护传承</w:t>
      </w:r>
    </w:p>
    <w:p w14:paraId="2C0D904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人才培养</w:t>
      </w:r>
    </w:p>
    <w:p w14:paraId="001E451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创新发展</w:t>
      </w:r>
    </w:p>
    <w:p w14:paraId="513675E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保障监督</w:t>
      </w:r>
    </w:p>
    <w:p w14:paraId="08171DD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附　　则</w:t>
      </w:r>
    </w:p>
    <w:p w14:paraId="0D8A2C64">
      <w:pPr>
        <w:pStyle w:val="12"/>
        <w:bidi w:val="0"/>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38E1B76F">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国家级非物质文化遗产婺剧的保护传承，推动优秀传统文化创造性转化、创新性发展，根据《中华人民共和国非物质文化遗产法》《浙江省非物质文化遗产保护条例》等有关法律、法规，结合本市实际，制定本条例。</w:t>
      </w:r>
    </w:p>
    <w:p w14:paraId="23A194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本市行政区域内婺剧的保护、传承、发展及其监督管理活动，适用本条例。</w:t>
      </w:r>
    </w:p>
    <w:p w14:paraId="137E38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本条例所称婺剧，俗称“金华戏”，因金华古称婺州而得名，是指以金华话为主音，包含高腔、昆腔、乱弹、徽调、滩簧和时调等多种声腔，具有独特脸谱、服装、道具和表演风格的传统地方戏剧。</w:t>
      </w:r>
    </w:p>
    <w:p w14:paraId="559EAB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婺剧保护传承发展应当以社会主义核心价值观为引领，坚持政府主导、社会参与、守正创新、服务人民的原则。</w:t>
      </w:r>
    </w:p>
    <w:p w14:paraId="2660B47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市、县（市、区）人民政府应当将婺剧保护传承发展工作纳入本级国民经济和社会发展规划纲要，编制婺剧保护传承发展规划，建立与经济社会发展相适应的经费保障机制。</w:t>
      </w:r>
    </w:p>
    <w:p w14:paraId="56B93073">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乡镇人民政府、街道办事处应当协助做好婺剧保护传承发展相关工作。</w:t>
      </w:r>
    </w:p>
    <w:p w14:paraId="56EF21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文化旅游主管部门负责婺剧的保护、传承、发展等工作。</w:t>
      </w:r>
    </w:p>
    <w:p w14:paraId="14F88614">
      <w:pPr>
        <w:ind w:firstLine="632" w:firstLineChars="200"/>
        <w:rPr>
          <w:rFonts w:ascii="Times New Roman" w:hAnsi="Times New Roman" w:cs="仿宋_GB2312"/>
          <w:sz w:val="32"/>
          <w:szCs w:val="32"/>
        </w:rPr>
      </w:pPr>
      <w:r>
        <w:rPr>
          <w:rFonts w:hint="eastAsia" w:ascii="Times New Roman" w:hAnsi="Times New Roman" w:cs="仿宋_GB2312"/>
          <w:sz w:val="32"/>
          <w:szCs w:val="32"/>
        </w:rPr>
        <w:t>宣传、发展改革、财政、教育、人力资源社会保障、公安、自然资源、住房城乡建设、市场监督管理等部门，应当按照各自职责做好婺剧保护传承发展相关工作。</w:t>
      </w:r>
    </w:p>
    <w:p w14:paraId="5CF86EAA">
      <w:pPr>
        <w:ind w:firstLine="632" w:firstLineChars="200"/>
        <w:rPr>
          <w:rFonts w:ascii="Times New Roman" w:hAnsi="Times New Roman" w:cs="仿宋_GB2312"/>
          <w:sz w:val="32"/>
          <w:szCs w:val="32"/>
        </w:rPr>
      </w:pPr>
      <w:r>
        <w:rPr>
          <w:rFonts w:hint="eastAsia" w:ascii="Times New Roman" w:hAnsi="Times New Roman" w:cs="仿宋_GB2312"/>
          <w:sz w:val="32"/>
          <w:szCs w:val="32"/>
        </w:rPr>
        <w:t>博物馆、文化馆（站）、非遗保护中心等公共文化机构应当开展婺剧研究、收藏、展示、传播等活动。</w:t>
      </w:r>
    </w:p>
    <w:p w14:paraId="1FFE15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婺剧促进会、戏剧家协会等社会团体应当研究、交流、推广婺剧，建立健全行业规范，加强行业自律，为婺剧院团和演职人员提供创作、表演、培训、权益保护等服务。</w:t>
      </w:r>
    </w:p>
    <w:p w14:paraId="68A6DFD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鼓励和支持自然人、法人和非法人组织设立婺剧院团、戏迷票友组织，开展婺剧理论研究、学术交流、项目资助、史料捐赠、志愿服务等活动。</w:t>
      </w:r>
    </w:p>
    <w:p w14:paraId="61B76D2A">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鼓励、引导社会资本参与婺剧保护传承发展。</w:t>
      </w:r>
    </w:p>
    <w:p w14:paraId="626BE1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每年11月3日所在周为婺剧宣传周。</w:t>
      </w:r>
    </w:p>
    <w:p w14:paraId="12543A1C">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市、县（市、区）人民政府及其文化旅游等部门应当在婺剧宣传周期间，组织开展婺剧传播推广、展示展演、参观体验等活动，提高婺剧文化影响力。</w:t>
      </w:r>
    </w:p>
    <w:p w14:paraId="1421C877">
      <w:pPr>
        <w:pStyle w:val="12"/>
        <w:bidi w:val="0"/>
        <w:rPr>
          <w:rFonts w:hint="eastAsia"/>
        </w:rPr>
      </w:pPr>
    </w:p>
    <w:p w14:paraId="7F1DC4C0">
      <w:pPr>
        <w:jc w:val="center"/>
        <w:rPr>
          <w:rFonts w:hint="eastAsia" w:ascii="Times New Roman" w:hAnsi="Times New Roman" w:eastAsia="黑体" w:cs="黑体"/>
          <w:szCs w:val="32"/>
        </w:rPr>
      </w:pPr>
      <w:r>
        <w:rPr>
          <w:rFonts w:hint="eastAsia" w:ascii="Times New Roman" w:hAnsi="Times New Roman" w:eastAsia="黑体" w:cs="黑体"/>
          <w:szCs w:val="32"/>
        </w:rPr>
        <w:t>第</w:t>
      </w:r>
      <w:r>
        <w:rPr>
          <w:rFonts w:hint="eastAsia" w:eastAsia="黑体" w:cs="黑体"/>
          <w:szCs w:val="32"/>
          <w:lang w:val="en-US" w:eastAsia="zh-CN"/>
        </w:rPr>
        <w:t>二</w:t>
      </w:r>
      <w:r>
        <w:rPr>
          <w:rFonts w:hint="eastAsia" w:ascii="Times New Roman" w:hAnsi="Times New Roman" w:eastAsia="黑体" w:cs="黑体"/>
          <w:szCs w:val="32"/>
        </w:rPr>
        <w:t>章　保护传承</w:t>
      </w:r>
    </w:p>
    <w:p w14:paraId="23BFB4E8">
      <w:pPr>
        <w:pStyle w:val="12"/>
        <w:bidi w:val="0"/>
        <w:rPr>
          <w:rFonts w:hint="eastAsia"/>
        </w:rPr>
      </w:pPr>
    </w:p>
    <w:p w14:paraId="3E7839D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婺剧保护传承对象，包括下列具有历史、文学、美学、艺术价值的婺剧传统文化表现形式和相关设施、实物：</w:t>
      </w:r>
    </w:p>
    <w:p w14:paraId="4B668AA3">
      <w:pPr>
        <w:ind w:firstLine="632" w:firstLineChars="200"/>
        <w:rPr>
          <w:rFonts w:ascii="Times New Roman" w:hAnsi="Times New Roman" w:cs="仿宋_GB2312"/>
          <w:sz w:val="32"/>
          <w:szCs w:val="32"/>
        </w:rPr>
      </w:pPr>
      <w:r>
        <w:rPr>
          <w:rFonts w:hint="eastAsia" w:ascii="Times New Roman" w:hAnsi="Times New Roman" w:cs="仿宋_GB2312"/>
          <w:sz w:val="32"/>
          <w:szCs w:val="32"/>
        </w:rPr>
        <w:t>（一）婺剧的代表性剧目、剧本曲谱、声腔音乐、表演艺术等；</w:t>
      </w:r>
    </w:p>
    <w:p w14:paraId="7E094608">
      <w:pPr>
        <w:ind w:firstLine="632" w:firstLineChars="200"/>
        <w:rPr>
          <w:rFonts w:ascii="Times New Roman" w:hAnsi="Times New Roman" w:cs="仿宋_GB2312"/>
          <w:sz w:val="32"/>
          <w:szCs w:val="32"/>
        </w:rPr>
      </w:pPr>
      <w:r>
        <w:rPr>
          <w:rFonts w:hint="eastAsia" w:ascii="Times New Roman" w:hAnsi="Times New Roman" w:cs="仿宋_GB2312"/>
          <w:sz w:val="32"/>
          <w:szCs w:val="32"/>
        </w:rPr>
        <w:t>（二）与婺剧相关的脸谱、服装、乐器、道具等制作技艺及其载体；</w:t>
      </w:r>
    </w:p>
    <w:p w14:paraId="6627C9BC">
      <w:pPr>
        <w:ind w:firstLine="632" w:firstLineChars="200"/>
        <w:rPr>
          <w:rFonts w:ascii="Times New Roman" w:hAnsi="Times New Roman" w:cs="仿宋_GB2312"/>
          <w:sz w:val="32"/>
          <w:szCs w:val="32"/>
        </w:rPr>
      </w:pPr>
      <w:r>
        <w:rPr>
          <w:rFonts w:hint="eastAsia" w:ascii="Times New Roman" w:hAnsi="Times New Roman" w:cs="仿宋_GB2312"/>
          <w:sz w:val="32"/>
          <w:szCs w:val="32"/>
        </w:rPr>
        <w:t>（三）与婺剧相关的建筑场所、文献档案、音像资料等；</w:t>
      </w:r>
    </w:p>
    <w:p w14:paraId="75110D33">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（四）其他与婺剧相关的保护传承对象。</w:t>
      </w:r>
    </w:p>
    <w:p w14:paraId="747D6D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市人民政府建立婺剧资源名录保护制度，实行分级分类管理。</w:t>
      </w:r>
    </w:p>
    <w:p w14:paraId="12C35622">
      <w:pPr>
        <w:ind w:firstLine="632" w:firstLineChars="200"/>
        <w:rPr>
          <w:rFonts w:ascii="Times New Roman" w:hAnsi="Times New Roman" w:cs="仿宋_GB2312"/>
          <w:sz w:val="32"/>
          <w:szCs w:val="32"/>
        </w:rPr>
      </w:pPr>
      <w:r>
        <w:rPr>
          <w:rFonts w:hint="eastAsia" w:ascii="Times New Roman" w:hAnsi="Times New Roman" w:cs="仿宋_GB2312"/>
          <w:sz w:val="32"/>
          <w:szCs w:val="32"/>
        </w:rPr>
        <w:t>婺剧资源名录应当载明名称、类型、保护级别、保护责任人等内容。</w:t>
      </w:r>
    </w:p>
    <w:p w14:paraId="4FC3693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市文化旅游主管部门应当组织开展婺剧资源调查，建立婺剧经典剧目、文献档案等数据库和信息共享平台，提高社会利用水平。</w:t>
      </w:r>
    </w:p>
    <w:p w14:paraId="58BC64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市、县（市、区）人民政府及其文化旅游等部门应当利用传统节日、重要节会、重大文化交流项目等，开展婺剧艺术交流，弘扬传播婺剧文化。</w:t>
      </w:r>
    </w:p>
    <w:p w14:paraId="6D125C51">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支持在公园、广场、街区等公共场所开展婺剧宣传、展示、展演等活动。</w:t>
      </w:r>
    </w:p>
    <w:p w14:paraId="7C1F65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教育主管部门应当会同文化旅游部门编写婺剧地方课程教材，将婺剧文化列入中小学素质教育内容，支持创建婺剧特色学校，定期举办中小学婺剧汇演。</w:t>
      </w:r>
    </w:p>
    <w:p w14:paraId="7BA63818">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支持专业院校、婺剧院团、代表性传承人、名家等进校园开展婺剧普及教育。鼓励学校组织学生开展婺剧研学活动。</w:t>
      </w:r>
    </w:p>
    <w:p w14:paraId="76CF16FC">
      <w:pPr>
        <w:pStyle w:val="12"/>
        <w:bidi w:val="0"/>
        <w:rPr>
          <w:rFonts w:hint="eastAsia"/>
        </w:rPr>
      </w:pPr>
    </w:p>
    <w:p w14:paraId="6100FAC6">
      <w:pPr>
        <w:jc w:val="center"/>
        <w:rPr>
          <w:rFonts w:hint="eastAsia" w:ascii="Times New Roman" w:hAnsi="Times New Roman" w:eastAsia="黑体" w:cs="黑体"/>
          <w:szCs w:val="32"/>
        </w:rPr>
      </w:pPr>
      <w:r>
        <w:rPr>
          <w:rFonts w:hint="eastAsia" w:ascii="Times New Roman" w:hAnsi="Times New Roman" w:eastAsia="黑体" w:cs="黑体"/>
          <w:szCs w:val="32"/>
        </w:rPr>
        <w:t>第</w:t>
      </w:r>
      <w:r>
        <w:rPr>
          <w:rFonts w:hint="eastAsia" w:ascii="Times New Roman" w:hAnsi="Times New Roman" w:eastAsia="黑体" w:cs="黑体"/>
          <w:szCs w:val="32"/>
          <w:lang w:val="en-US" w:eastAsia="zh-CN"/>
        </w:rPr>
        <w:t>三</w:t>
      </w:r>
      <w:r>
        <w:rPr>
          <w:rFonts w:hint="eastAsia" w:ascii="Times New Roman" w:hAnsi="Times New Roman" w:eastAsia="黑体" w:cs="黑体"/>
          <w:szCs w:val="32"/>
        </w:rPr>
        <w:t>章　人才培养</w:t>
      </w:r>
    </w:p>
    <w:p w14:paraId="11C23C2F">
      <w:pPr>
        <w:pStyle w:val="12"/>
        <w:bidi w:val="0"/>
        <w:rPr>
          <w:rFonts w:hint="eastAsia"/>
        </w:rPr>
      </w:pPr>
    </w:p>
    <w:p w14:paraId="59EC215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市、县（市、区）人民政府应当建立婺剧人才培养机制，加强婺剧编剧、导演、舞美、音乐、表演、经营管理等人才培育。</w:t>
      </w:r>
    </w:p>
    <w:p w14:paraId="5BE5C170">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支持婺剧艺术院校建设，支持高等院校、职业院校开设婺剧相关专业或者课程，鼓励婺剧院团与高等院校、职业院校合作培养婺剧人才。</w:t>
      </w:r>
    </w:p>
    <w:p w14:paraId="5BA152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市人民政府应当制定婺剧专业技术人员职称评价办法。对长期从事婺剧的专业演职人员，可以放宽学历资历要求。</w:t>
      </w:r>
    </w:p>
    <w:p w14:paraId="3F988E7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市、县（市、区）人民政府应当建立婺剧人才引进机制，制定婺剧专业技术中高级职称的职数激励政策。</w:t>
      </w:r>
    </w:p>
    <w:p w14:paraId="6B633BAB">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支持婺剧院团通过专家评估和专业考核等方式引进人才。</w:t>
      </w:r>
    </w:p>
    <w:p w14:paraId="0DBDE3B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市文化旅游主管部门应当会同教育部门依法建立婺剧社会艺术水平考级机制，推动婺剧普及和发展。</w:t>
      </w:r>
    </w:p>
    <w:p w14:paraId="64725605">
      <w:pPr>
        <w:ind w:firstLine="632" w:firstLineChars="200"/>
        <w:rPr>
          <w:rFonts w:hint="eastAsia"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鼓励和支持婺剧代表性传承人、名家设立婺剧工作室（传习所），带徒授艺培养婺剧传承人。</w:t>
      </w:r>
    </w:p>
    <w:p w14:paraId="68EDAE55">
      <w:pPr>
        <w:pStyle w:val="12"/>
        <w:bidi w:val="0"/>
        <w:rPr>
          <w:rFonts w:hint="eastAsia"/>
        </w:rPr>
      </w:pPr>
    </w:p>
    <w:p w14:paraId="13D233DC">
      <w:pPr>
        <w:jc w:val="center"/>
        <w:rPr>
          <w:rFonts w:hint="eastAsia" w:ascii="Times New Roman" w:hAnsi="Times New Roman" w:eastAsia="黑体" w:cs="黑体"/>
          <w:szCs w:val="32"/>
        </w:rPr>
      </w:pPr>
      <w:r>
        <w:rPr>
          <w:rFonts w:hint="eastAsia" w:ascii="Times New Roman" w:hAnsi="Times New Roman" w:eastAsia="黑体" w:cs="黑体"/>
          <w:szCs w:val="32"/>
        </w:rPr>
        <w:t>第</w:t>
      </w:r>
      <w:r>
        <w:rPr>
          <w:rFonts w:hint="eastAsia" w:eastAsia="黑体" w:cs="黑体"/>
          <w:szCs w:val="32"/>
          <w:lang w:val="en-US" w:eastAsia="zh-CN"/>
        </w:rPr>
        <w:t>四</w:t>
      </w:r>
      <w:r>
        <w:rPr>
          <w:rFonts w:hint="eastAsia" w:ascii="Times New Roman" w:hAnsi="Times New Roman" w:eastAsia="黑体" w:cs="黑体"/>
          <w:szCs w:val="32"/>
        </w:rPr>
        <w:t>章　创新发展</w:t>
      </w:r>
    </w:p>
    <w:p w14:paraId="794A645E">
      <w:pPr>
        <w:pStyle w:val="12"/>
        <w:bidi w:val="0"/>
        <w:rPr>
          <w:rFonts w:hint="eastAsia"/>
        </w:rPr>
      </w:pPr>
    </w:p>
    <w:p w14:paraId="59FAEA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市、县（市、区）人民政府应当支持婺剧院团、专业院校创作精品剧目、制作婺剧影视，提高婺剧影响力和传播力。</w:t>
      </w:r>
    </w:p>
    <w:p w14:paraId="0A8B1E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文化旅游主管部门、婺剧院团可以引进、征集、购买新编婺剧剧目，促进婺剧文化的推广和传播。</w:t>
      </w:r>
    </w:p>
    <w:p w14:paraId="71B86537">
      <w:pPr>
        <w:ind w:firstLine="632" w:firstLineChars="200"/>
        <w:rPr>
          <w:rFonts w:ascii="Times New Roman" w:hAnsi="Times New Roman" w:cs="仿宋_GB2312"/>
          <w:sz w:val="32"/>
          <w:szCs w:val="32"/>
        </w:rPr>
      </w:pPr>
      <w:r>
        <w:rPr>
          <w:rFonts w:hint="eastAsia" w:ascii="Times New Roman" w:hAnsi="Times New Roman" w:cs="仿宋_GB2312"/>
          <w:sz w:val="32"/>
          <w:szCs w:val="32"/>
        </w:rPr>
        <w:t>国有婺剧院团应当发挥示范作用，编制剧目创作规划，整理改编传统剧目、新编历史剧目、创作现代剧目，加强对民营婺剧院团的业务指导。</w:t>
      </w:r>
    </w:p>
    <w:p w14:paraId="1C121DB1">
      <w:pPr>
        <w:ind w:firstLine="632" w:firstLineChars="200"/>
        <w:rPr>
          <w:rFonts w:ascii="Times New Roman" w:hAnsi="Times New Roman" w:cs="仿宋_GB2312"/>
          <w:sz w:val="32"/>
          <w:szCs w:val="32"/>
        </w:rPr>
      </w:pPr>
      <w:r>
        <w:rPr>
          <w:rFonts w:hint="eastAsia" w:ascii="Times New Roman" w:hAnsi="Times New Roman" w:cs="仿宋_GB2312"/>
          <w:sz w:val="32"/>
          <w:szCs w:val="32"/>
        </w:rPr>
        <w:t>国有婺剧院团应当联合专业院校、科研机构、代表性传承人等单位和个人开展婺剧理论研究，推动婺剧创新实践。</w:t>
      </w:r>
    </w:p>
    <w:p w14:paraId="336C4A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婺剧院团应当创作、编排、演出适合各类群体观演需求的优秀剧目，拓展婺剧演出市场。</w:t>
      </w:r>
    </w:p>
    <w:p w14:paraId="1CDB763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市、县（市、区）人民政府及其文化旅游等部门应当推动婺剧与旅游产业融合发展，打造具有婺剧特色的文化旅游产品和产业品牌。</w:t>
      </w:r>
    </w:p>
    <w:p w14:paraId="40F338F7">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支持乡镇人民政府、街道办事处创建婺剧特色乡镇、村（社区）。</w:t>
      </w:r>
    </w:p>
    <w:p w14:paraId="38DE2BD9">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鼓励自然人、法人和非法人组织合理利用婺剧资源，开展创意衍生品研发设计、生产销售、品牌推广，推动跨界多元发展。</w:t>
      </w:r>
    </w:p>
    <w:p w14:paraId="27ADEA86">
      <w:pPr>
        <w:ind w:firstLine="632" w:firstLineChars="200"/>
        <w:rPr>
          <w:rFonts w:hint="eastAsia"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鼓励和支持婺剧院团创作适合线上观演的婺剧动漫和影视作品，建设在线剧院、数字剧场，发展婺剧演播新业态。</w:t>
      </w:r>
    </w:p>
    <w:p w14:paraId="27A3AB83">
      <w:pPr>
        <w:pStyle w:val="12"/>
        <w:bidi w:val="0"/>
        <w:rPr>
          <w:rFonts w:hint="eastAsia"/>
        </w:rPr>
      </w:pPr>
    </w:p>
    <w:p w14:paraId="54FF2F7F">
      <w:pPr>
        <w:jc w:val="center"/>
        <w:rPr>
          <w:rFonts w:hint="eastAsia" w:ascii="Times New Roman" w:hAnsi="Times New Roman" w:eastAsia="黑体" w:cs="黑体"/>
          <w:szCs w:val="32"/>
        </w:rPr>
      </w:pPr>
      <w:r>
        <w:rPr>
          <w:rFonts w:hint="eastAsia" w:ascii="Times New Roman" w:hAnsi="Times New Roman" w:eastAsia="黑体" w:cs="黑体"/>
          <w:szCs w:val="32"/>
        </w:rPr>
        <w:t>第</w:t>
      </w:r>
      <w:r>
        <w:rPr>
          <w:rFonts w:hint="eastAsia" w:eastAsia="黑体" w:cs="黑体"/>
          <w:szCs w:val="32"/>
          <w:lang w:val="en-US" w:eastAsia="zh-CN"/>
        </w:rPr>
        <w:t>五</w:t>
      </w:r>
      <w:r>
        <w:rPr>
          <w:rFonts w:hint="eastAsia" w:ascii="Times New Roman" w:hAnsi="Times New Roman" w:eastAsia="黑体" w:cs="黑体"/>
          <w:szCs w:val="32"/>
        </w:rPr>
        <w:t>章　保障监督</w:t>
      </w:r>
    </w:p>
    <w:p w14:paraId="69CDF775">
      <w:pPr>
        <w:pStyle w:val="12"/>
        <w:bidi w:val="0"/>
        <w:rPr>
          <w:rFonts w:hint="eastAsia"/>
        </w:rPr>
      </w:pPr>
    </w:p>
    <w:p w14:paraId="0F39F3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市、县（市、区）人民政府应当设立婺剧保护传承发展专项资金，用于资源调查、创作展示、人才培养、设施建设、送戏下乡、传播交流等项目。</w:t>
      </w:r>
    </w:p>
    <w:p w14:paraId="2F5170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市、县（市、区）人民政府应当将婺剧基础设施建设纳入公共文化设施建设规划，合理配置标准化演出剧院和婺剧传习场所，支持婺剧博物馆、陈列馆等特色展馆建设。</w:t>
      </w:r>
    </w:p>
    <w:p w14:paraId="2866380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市、县（市、区）人民政府应当将婺剧演出纳入基本公共文化服务目录，通过政府购买服务等方式，支持婺剧院团面向基层人民群众开展惠民演出和相关公益性活动。</w:t>
      </w:r>
    </w:p>
    <w:p w14:paraId="70DF55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市、县（市、区）人民政府应当建立和完善国有婺剧院团的考评激励机制，制定支持民营婺剧院团发展政策。</w:t>
      </w:r>
    </w:p>
    <w:p w14:paraId="72F9F4E8">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支持村集体经济组织举办婺剧展演活动，丰富基层人民群众文化生活。</w:t>
      </w:r>
    </w:p>
    <w:p w14:paraId="5FD2D5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文化旅游、市场监督管理等部门应当加强对婺剧演出市场、演出内容的监督管理，保障婺剧演出市场健康有序发展。</w:t>
      </w:r>
    </w:p>
    <w:p w14:paraId="6A475D3F">
      <w:pPr>
        <w:ind w:firstLine="632" w:firstLineChars="200"/>
        <w:rPr>
          <w:rFonts w:ascii="Times New Roman" w:hAnsi="Times New Roman" w:cs="仿宋_GB2312"/>
          <w:sz w:val="32"/>
          <w:szCs w:val="32"/>
        </w:rPr>
      </w:pPr>
      <w:r>
        <w:rPr>
          <w:rFonts w:hint="eastAsia" w:ascii="Times New Roman" w:hAnsi="Times New Roman" w:cs="仿宋_GB2312"/>
          <w:sz w:val="32"/>
          <w:szCs w:val="32"/>
        </w:rPr>
        <w:t>负有知识产权保护职责的部门应当依法保障婺剧院团和代表性传承人的著作权、专利权等知识产权。</w:t>
      </w:r>
    </w:p>
    <w:p w14:paraId="3F5BF7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违反本条例规定的行为，法律、行政法规和省的地方性法规已有法律责任规定的，从其规定。</w:t>
      </w:r>
    </w:p>
    <w:p w14:paraId="54923823">
      <w:pPr>
        <w:ind w:firstLine="632" w:firstLineChars="200"/>
        <w:rPr>
          <w:rFonts w:hint="eastAsia"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各级人民政府、有关部门及其工作人员违反本条例规定，在婺剧保护传承发展工作中有玩忽职守、滥用职权、徇私舞弊行为的，由有权机关对直接负责的主管人员和其他直接责任人员依法给予处理。</w:t>
      </w:r>
    </w:p>
    <w:p w14:paraId="18405D87">
      <w:pPr>
        <w:pStyle w:val="12"/>
        <w:bidi w:val="0"/>
        <w:rPr>
          <w:rFonts w:hint="eastAsia"/>
        </w:rPr>
      </w:pPr>
    </w:p>
    <w:p w14:paraId="245B3F8E">
      <w:pPr>
        <w:jc w:val="center"/>
        <w:rPr>
          <w:rFonts w:hint="eastAsia" w:ascii="Times New Roman" w:hAnsi="Times New Roman" w:eastAsia="黑体" w:cs="黑体"/>
          <w:szCs w:val="32"/>
        </w:rPr>
      </w:pPr>
      <w:r>
        <w:rPr>
          <w:rFonts w:hint="eastAsia" w:ascii="Times New Roman" w:hAnsi="Times New Roman" w:eastAsia="黑体" w:cs="黑体"/>
          <w:szCs w:val="32"/>
        </w:rPr>
        <w:t>第</w:t>
      </w:r>
      <w:r>
        <w:rPr>
          <w:rFonts w:hint="eastAsia" w:ascii="Times New Roman" w:hAnsi="Times New Roman" w:eastAsia="黑体" w:cs="黑体"/>
          <w:szCs w:val="32"/>
          <w:lang w:val="en-US" w:eastAsia="zh-CN"/>
        </w:rPr>
        <w:t>六</w:t>
      </w:r>
      <w:r>
        <w:rPr>
          <w:rFonts w:hint="eastAsia" w:ascii="Times New Roman" w:hAnsi="Times New Roman" w:eastAsia="黑体" w:cs="黑体"/>
          <w:szCs w:val="32"/>
        </w:rPr>
        <w:t>章　附则</w:t>
      </w:r>
    </w:p>
    <w:p w14:paraId="47D15696">
      <w:pPr>
        <w:pStyle w:val="12"/>
        <w:bidi w:val="0"/>
        <w:rPr>
          <w:rFonts w:hint="eastAsia"/>
        </w:rPr>
      </w:pPr>
      <w:bookmarkStart w:id="0" w:name="_GoBack"/>
      <w:bookmarkEnd w:id="0"/>
    </w:p>
    <w:p w14:paraId="5B82A4E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本条例自2024年5月1日起施行。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zNDdiMzEyZThhM2FhNjAwNDQzY2FiMmE0ODY5ZG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891407"/>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 w:type="paragraph" w:customStyle="1" w:styleId="12">
    <w:name w:val="空行"/>
    <w:basedOn w:val="1"/>
    <w:uiPriority w:val="0"/>
    <w:rPr>
      <w:rFonts w:ascii="Times New Roman" w:hAnsi="Times New Roman" w:eastAsia="宋体" w:cs="宋体"/>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2776</Words>
  <Characters>2787</Characters>
  <Lines>87</Lines>
  <Paragraphs>24</Paragraphs>
  <TotalTime>22</TotalTime>
  <ScaleCrop>false</ScaleCrop>
  <LinksUpToDate>false</LinksUpToDate>
  <CharactersWithSpaces>2835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2024-09-20T08:11:34Z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